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D7" w:rsidRDefault="003246D1">
      <w:pPr>
        <w:keepNext/>
        <w:keepLines/>
        <w:jc w:val="center"/>
        <w:rPr>
          <w:b/>
          <w:sz w:val="24"/>
          <w:szCs w:val="20"/>
          <w:lang w:eastAsia="en-CA"/>
        </w:rPr>
      </w:pPr>
      <w:r>
        <w:rPr>
          <w:b/>
          <w:sz w:val="24"/>
          <w:szCs w:val="20"/>
          <w:lang w:eastAsia="en-CA"/>
        </w:rPr>
        <w:t xml:space="preserve">AESO REP ROUND 1 </w:t>
      </w:r>
    </w:p>
    <w:p w:rsidR="006908D7" w:rsidRDefault="003246D1">
      <w:pPr>
        <w:keepNext/>
        <w:keepLines/>
        <w:jc w:val="center"/>
        <w:rPr>
          <w:b/>
          <w:sz w:val="24"/>
          <w:szCs w:val="20"/>
          <w:lang w:eastAsia="en-CA"/>
        </w:rPr>
      </w:pPr>
      <w:r>
        <w:rPr>
          <w:b/>
          <w:sz w:val="24"/>
          <w:szCs w:val="20"/>
          <w:lang w:eastAsia="en-CA"/>
        </w:rPr>
        <w:t>RENEWABLE ELECTRICITY SUPPORT AGREEMENT</w:t>
      </w:r>
    </w:p>
    <w:p w:rsidR="006908D7" w:rsidRDefault="003246D1">
      <w:pPr>
        <w:keepNext/>
        <w:spacing w:line="480" w:lineRule="auto"/>
        <w:jc w:val="center"/>
        <w:rPr>
          <w:b/>
          <w:caps/>
          <w:color w:val="000000"/>
          <w:lang w:eastAsia="en-CA"/>
        </w:rPr>
      </w:pPr>
      <w:bookmarkStart w:id="0" w:name="_Toc491703496"/>
      <w:r>
        <w:rPr>
          <w:b/>
          <w:caps/>
          <w:color w:val="000000"/>
          <w:sz w:val="24"/>
          <w:lang w:eastAsia="en-CA"/>
        </w:rPr>
        <w:t>SOLICITOR'S OPINIO</w:t>
      </w:r>
      <w:bookmarkEnd w:id="0"/>
      <w:r>
        <w:rPr>
          <w:b/>
          <w:caps/>
          <w:color w:val="000000"/>
          <w:sz w:val="24"/>
          <w:lang w:eastAsia="en-CA"/>
        </w:rPr>
        <w:t>N</w:t>
      </w:r>
    </w:p>
    <w:p w:rsidR="00F123B8" w:rsidRDefault="003246D1">
      <w:pPr>
        <w:pStyle w:val="BodyText0"/>
        <w:spacing w:after="0"/>
        <w:jc w:val="left"/>
        <w:rPr>
          <w:rFonts w:cs="Arial"/>
        </w:rPr>
      </w:pPr>
      <w:r>
        <w:rPr>
          <w:rFonts w:cs="Arial"/>
        </w:rPr>
        <w:t xml:space="preserve">Alberta Electric System Operator </w:t>
      </w:r>
      <w:r>
        <w:rPr>
          <w:rFonts w:cs="Arial"/>
        </w:rPr>
        <w:br/>
        <w:t>2500</w:t>
      </w:r>
      <w:r w:rsidR="00F123B8">
        <w:rPr>
          <w:rFonts w:cs="Arial"/>
        </w:rPr>
        <w:t xml:space="preserve"> Calgary Place</w:t>
      </w:r>
    </w:p>
    <w:p w:rsidR="006908D7" w:rsidRDefault="003246D1" w:rsidP="00F123B8">
      <w:pPr>
        <w:pStyle w:val="BodyText0"/>
        <w:spacing w:after="0"/>
        <w:jc w:val="left"/>
        <w:rPr>
          <w:rFonts w:cs="Arial"/>
        </w:rPr>
      </w:pPr>
      <w:r>
        <w:rPr>
          <w:rFonts w:cs="Arial"/>
        </w:rPr>
        <w:t>33</w:t>
      </w:r>
      <w:r w:rsidR="00F123B8">
        <w:rPr>
          <w:rFonts w:cs="Arial"/>
        </w:rPr>
        <w:t>0 - 5th Avenue S.W</w:t>
      </w:r>
      <w:proofErr w:type="gramStart"/>
      <w:r w:rsidR="00F123B8">
        <w:rPr>
          <w:rFonts w:cs="Arial"/>
        </w:rPr>
        <w:t>.</w:t>
      </w:r>
      <w:proofErr w:type="gramEnd"/>
      <w:r w:rsidR="00F123B8">
        <w:rPr>
          <w:rFonts w:cs="Arial"/>
        </w:rPr>
        <w:br/>
        <w:t xml:space="preserve">Calgary, AB, </w:t>
      </w:r>
      <w:r>
        <w:rPr>
          <w:rFonts w:cs="Arial"/>
        </w:rPr>
        <w:t>T2P 0L4</w:t>
      </w:r>
    </w:p>
    <w:p w:rsidR="00F123B8" w:rsidRDefault="00F123B8" w:rsidP="00F123B8">
      <w:pPr>
        <w:pStyle w:val="BodyText0"/>
        <w:spacing w:after="0"/>
        <w:jc w:val="left"/>
        <w:rPr>
          <w:rFonts w:cs="Arial"/>
        </w:rPr>
      </w:pPr>
    </w:p>
    <w:p w:rsidR="006908D7" w:rsidRDefault="003246D1">
      <w:pPr>
        <w:pStyle w:val="BodyText0"/>
        <w:rPr>
          <w:rFonts w:cs="Arial"/>
        </w:rPr>
      </w:pPr>
      <w:r>
        <w:rPr>
          <w:rFonts w:cs="Arial"/>
        </w:rPr>
        <w:t>Dear Sir/Madam:</w:t>
      </w:r>
    </w:p>
    <w:p w:rsidR="006908D7" w:rsidRDefault="003246D1" w:rsidP="003246D1">
      <w:pPr>
        <w:pStyle w:val="BodyText0"/>
        <w:ind w:left="720" w:hanging="720"/>
        <w:rPr>
          <w:rFonts w:cs="Arial"/>
          <w:b/>
        </w:rPr>
      </w:pPr>
      <w:r>
        <w:rPr>
          <w:rFonts w:cs="Arial"/>
          <w:b/>
        </w:rPr>
        <w:t>Re:</w:t>
      </w:r>
      <w:r>
        <w:rPr>
          <w:rFonts w:cs="Arial"/>
          <w:b/>
        </w:rPr>
        <w:tab/>
      </w:r>
      <w:r w:rsidR="00FF7EFD">
        <w:rPr>
          <w:rFonts w:cs="Arial"/>
          <w:b/>
          <w:highlight w:val="lightGray"/>
        </w:rPr>
        <w:fldChar w:fldCharType="begin">
          <w:ffData>
            <w:name w:val="Text1"/>
            <w:enabled/>
            <w:calcOnExit w:val="0"/>
            <w:textInput>
              <w:default w:val="[Name of Renewables Project]"/>
            </w:textInput>
          </w:ffData>
        </w:fldChar>
      </w:r>
      <w:bookmarkStart w:id="1" w:name="Text1"/>
      <w:r w:rsidR="00FF7EFD">
        <w:rPr>
          <w:rFonts w:cs="Arial"/>
          <w:b/>
          <w:highlight w:val="lightGray"/>
        </w:rPr>
        <w:instrText xml:space="preserve"> FORMTEXT </w:instrText>
      </w:r>
      <w:r w:rsidR="00FF7EFD">
        <w:rPr>
          <w:rFonts w:cs="Arial"/>
          <w:b/>
          <w:highlight w:val="lightGray"/>
        </w:rPr>
      </w:r>
      <w:r w:rsidR="00FF7EFD">
        <w:rPr>
          <w:rFonts w:cs="Arial"/>
          <w:b/>
          <w:highlight w:val="lightGray"/>
        </w:rPr>
        <w:fldChar w:fldCharType="separate"/>
      </w:r>
      <w:bookmarkStart w:id="2" w:name="_GoBack"/>
      <w:r w:rsidR="00FF7EFD">
        <w:rPr>
          <w:rFonts w:cs="Arial"/>
          <w:b/>
          <w:noProof/>
          <w:highlight w:val="lightGray"/>
        </w:rPr>
        <w:t>[Name of Renewables Project]</w:t>
      </w:r>
      <w:bookmarkEnd w:id="2"/>
      <w:r w:rsidR="00FF7EFD">
        <w:rPr>
          <w:rFonts w:cs="Arial"/>
          <w:b/>
          <w:highlight w:val="lightGray"/>
        </w:rPr>
        <w:fldChar w:fldCharType="end"/>
      </w:r>
      <w:bookmarkEnd w:id="1"/>
      <w:r>
        <w:rPr>
          <w:rFonts w:cs="Arial"/>
          <w:b/>
        </w:rPr>
        <w:t xml:space="preserve"> (the "Project") </w:t>
      </w:r>
      <w:r>
        <w:rPr>
          <w:rFonts w:cs="Arial"/>
          <w:b/>
        </w:rPr>
        <w:br/>
        <w:t xml:space="preserve">Renewable Electricity Support Agreement dated </w:t>
      </w:r>
      <w:r w:rsidR="007F7581">
        <w:rPr>
          <w:rFonts w:cs="Arial"/>
          <w:b/>
          <w:highlight w:val="lightGray"/>
        </w:rPr>
        <w:fldChar w:fldCharType="begin">
          <w:ffData>
            <w:name w:val="Text2"/>
            <w:enabled/>
            <w:calcOnExit w:val="0"/>
            <w:textInput>
              <w:default w:val="[●]"/>
            </w:textInput>
          </w:ffData>
        </w:fldChar>
      </w:r>
      <w:bookmarkStart w:id="3" w:name="Text2"/>
      <w:r w:rsidR="007F7581">
        <w:rPr>
          <w:rFonts w:cs="Arial"/>
          <w:b/>
          <w:highlight w:val="lightGray"/>
        </w:rPr>
        <w:instrText xml:space="preserve"> FORMTEXT </w:instrText>
      </w:r>
      <w:r w:rsidR="007F7581">
        <w:rPr>
          <w:rFonts w:cs="Arial"/>
          <w:b/>
          <w:highlight w:val="lightGray"/>
        </w:rPr>
      </w:r>
      <w:r w:rsidR="007F7581">
        <w:rPr>
          <w:rFonts w:cs="Arial"/>
          <w:b/>
          <w:highlight w:val="lightGray"/>
        </w:rPr>
        <w:fldChar w:fldCharType="separate"/>
      </w:r>
      <w:r w:rsidR="007F7581">
        <w:rPr>
          <w:rFonts w:cs="Arial"/>
          <w:b/>
          <w:noProof/>
          <w:highlight w:val="lightGray"/>
        </w:rPr>
        <w:t>[●]</w:t>
      </w:r>
      <w:r w:rsidR="007F7581">
        <w:rPr>
          <w:rFonts w:cs="Arial"/>
          <w:b/>
          <w:highlight w:val="lightGray"/>
        </w:rPr>
        <w:fldChar w:fldCharType="end"/>
      </w:r>
      <w:bookmarkEnd w:id="3"/>
      <w:r>
        <w:rPr>
          <w:rFonts w:cs="Arial"/>
          <w:b/>
        </w:rPr>
        <w:t xml:space="preserve">, 2017 between Alberta Electric System Operator ("AESO") and </w:t>
      </w:r>
      <w:r w:rsidR="007F7581">
        <w:rPr>
          <w:rFonts w:cs="Arial"/>
          <w:b/>
          <w:highlight w:val="lightGray"/>
        </w:rPr>
        <w:fldChar w:fldCharType="begin">
          <w:ffData>
            <w:name w:val="Text8"/>
            <w:enabled/>
            <w:calcOnExit w:val="0"/>
            <w:textInput>
              <w:default w:val="[Name of Generator]"/>
            </w:textInput>
          </w:ffData>
        </w:fldChar>
      </w:r>
      <w:bookmarkStart w:id="4" w:name="Text8"/>
      <w:r w:rsidR="007F7581">
        <w:rPr>
          <w:rFonts w:cs="Arial"/>
          <w:b/>
          <w:highlight w:val="lightGray"/>
        </w:rPr>
        <w:instrText xml:space="preserve"> FORMTEXT </w:instrText>
      </w:r>
      <w:r w:rsidR="007F7581">
        <w:rPr>
          <w:rFonts w:cs="Arial"/>
          <w:b/>
          <w:highlight w:val="lightGray"/>
        </w:rPr>
      </w:r>
      <w:r w:rsidR="007F7581">
        <w:rPr>
          <w:rFonts w:cs="Arial"/>
          <w:b/>
          <w:highlight w:val="lightGray"/>
        </w:rPr>
        <w:fldChar w:fldCharType="separate"/>
      </w:r>
      <w:r w:rsidR="007F7581">
        <w:rPr>
          <w:rFonts w:cs="Arial"/>
          <w:b/>
          <w:noProof/>
          <w:highlight w:val="lightGray"/>
        </w:rPr>
        <w:t>[Name of Generator]</w:t>
      </w:r>
      <w:r w:rsidR="007F7581">
        <w:rPr>
          <w:rFonts w:cs="Arial"/>
          <w:b/>
          <w:highlight w:val="lightGray"/>
        </w:rPr>
        <w:fldChar w:fldCharType="end"/>
      </w:r>
      <w:bookmarkEnd w:id="4"/>
      <w:r>
        <w:rPr>
          <w:rFonts w:cs="Arial"/>
          <w:b/>
        </w:rPr>
        <w:t xml:space="preserve"> (the "Agreement") in respect of the Project</w:t>
      </w:r>
    </w:p>
    <w:p w:rsidR="006908D7" w:rsidRDefault="003246D1">
      <w:pPr>
        <w:pStyle w:val="BodyText0"/>
        <w:rPr>
          <w:rFonts w:cs="Arial"/>
        </w:rPr>
      </w:pPr>
      <w:r>
        <w:rPr>
          <w:rFonts w:cs="Arial"/>
        </w:rPr>
        <w:t xml:space="preserve">We have acted as legal advisors to </w:t>
      </w:r>
      <w:r w:rsidR="007F7581">
        <w:rPr>
          <w:rFonts w:cs="Arial"/>
          <w:highlight w:val="lightGray"/>
        </w:rPr>
        <w:fldChar w:fldCharType="begin">
          <w:ffData>
            <w:name w:val="Text9"/>
            <w:enabled/>
            <w:calcOnExit w:val="0"/>
            <w:textInput>
              <w:default w:val="[Insert name of Generator]"/>
            </w:textInput>
          </w:ffData>
        </w:fldChar>
      </w:r>
      <w:bookmarkStart w:id="5" w:name="Text9"/>
      <w:r w:rsidR="007F7581">
        <w:rPr>
          <w:rFonts w:cs="Arial"/>
          <w:highlight w:val="lightGray"/>
        </w:rPr>
        <w:instrText xml:space="preserve"> FORMTEXT </w:instrText>
      </w:r>
      <w:r w:rsidR="007F7581">
        <w:rPr>
          <w:rFonts w:cs="Arial"/>
          <w:highlight w:val="lightGray"/>
        </w:rPr>
      </w:r>
      <w:r w:rsidR="007F7581">
        <w:rPr>
          <w:rFonts w:cs="Arial"/>
          <w:highlight w:val="lightGray"/>
        </w:rPr>
        <w:fldChar w:fldCharType="separate"/>
      </w:r>
      <w:r w:rsidR="007F7581">
        <w:rPr>
          <w:rFonts w:cs="Arial"/>
          <w:noProof/>
          <w:highlight w:val="lightGray"/>
        </w:rPr>
        <w:t>[Insert name of Generator]</w:t>
      </w:r>
      <w:r w:rsidR="007F7581">
        <w:rPr>
          <w:rFonts w:cs="Arial"/>
          <w:highlight w:val="lightGray"/>
        </w:rPr>
        <w:fldChar w:fldCharType="end"/>
      </w:r>
      <w:bookmarkEnd w:id="5"/>
      <w:r>
        <w:rPr>
          <w:rFonts w:cs="Arial"/>
        </w:rPr>
        <w:t xml:space="preserve"> (the "Generator") in connection with the Agreement and the Fixed and Floating Charge Debenture required to be delivered by the Generator pursuant to Section 10.2 of the Agreement (the “Debenture”).</w:t>
      </w:r>
    </w:p>
    <w:p w:rsidR="006908D7" w:rsidRDefault="003246D1">
      <w:pPr>
        <w:pStyle w:val="BodyText0"/>
        <w:rPr>
          <w:rFonts w:cs="Arial"/>
        </w:rPr>
      </w:pPr>
      <w:r>
        <w:rPr>
          <w:rFonts w:cs="Arial"/>
        </w:rPr>
        <w:t xml:space="preserve">Capitalized terms and acronyms used in this letter and not defined herein have the meanings given those same capitalized terms and acronyms in the Agreement. </w:t>
      </w:r>
    </w:p>
    <w:p w:rsidR="006908D7" w:rsidRDefault="003246D1">
      <w:pPr>
        <w:pStyle w:val="Pleading1L1"/>
        <w:numPr>
          <w:ilvl w:val="0"/>
          <w:numId w:val="4"/>
        </w:numPr>
        <w:rPr>
          <w:rFonts w:cs="Arial"/>
        </w:rPr>
      </w:pPr>
      <w:bookmarkStart w:id="6" w:name="_Toc484981494"/>
      <w:r>
        <w:rPr>
          <w:rFonts w:cs="Arial"/>
        </w:rPr>
        <w:t>Scope of Review</w:t>
      </w:r>
      <w:bookmarkEnd w:id="6"/>
    </w:p>
    <w:p w:rsidR="006908D7" w:rsidRDefault="003246D1">
      <w:pPr>
        <w:pStyle w:val="BodyText0"/>
        <w:rPr>
          <w:rFonts w:cs="Arial"/>
        </w:rPr>
      </w:pPr>
      <w:r>
        <w:rPr>
          <w:rFonts w:cs="Arial"/>
        </w:rPr>
        <w:t>For the purposes of this opinion, we have examined an executed copy of the Debenture executed by the Generator.</w:t>
      </w:r>
    </w:p>
    <w:p w:rsidR="006908D7" w:rsidRDefault="003246D1">
      <w:pPr>
        <w:pStyle w:val="BodyText0"/>
        <w:rPr>
          <w:rFonts w:cs="Arial"/>
        </w:rPr>
      </w:pPr>
      <w:r>
        <w:rPr>
          <w:rFonts w:cs="Arial"/>
        </w:rPr>
        <w:t>We have also made such investigations and examined originals or copies certified or otherwise identified to our satisfaction, of such certificates of public officials and such other certificates, documents, records and matters of law as we have considered necessary or relevant for the purposes of the opinions hereinafter expressed, including</w:t>
      </w:r>
      <w:r w:rsidRPr="00FF7EFD">
        <w:rPr>
          <w:rFonts w:cs="Arial"/>
        </w:rPr>
        <w:t>:</w:t>
      </w:r>
      <w:r>
        <w:rPr>
          <w:rFonts w:cs="Arial"/>
        </w:rPr>
        <w:t xml:space="preserve"> </w:t>
      </w:r>
    </w:p>
    <w:p w:rsidR="006908D7" w:rsidRDefault="00175023">
      <w:pPr>
        <w:pStyle w:val="ListParagraph"/>
        <w:numPr>
          <w:ilvl w:val="0"/>
          <w:numId w:val="14"/>
        </w:numPr>
        <w:rPr>
          <w:rStyle w:val="BodyTextChar0"/>
        </w:rPr>
      </w:pPr>
      <w:r>
        <w:t xml:space="preserve">an Officer's Certificate of </w:t>
      </w:r>
      <w:r w:rsidR="007F7581">
        <w:rPr>
          <w:highlight w:val="lightGray"/>
        </w:rPr>
        <w:fldChar w:fldCharType="begin">
          <w:ffData>
            <w:name w:val="Text26"/>
            <w:enabled/>
            <w:calcOnExit w:val="0"/>
            <w:textInput>
              <w:default w:val="[Insert name of general partner]"/>
            </w:textInput>
          </w:ffData>
        </w:fldChar>
      </w:r>
      <w:bookmarkStart w:id="7" w:name="Text26"/>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[Insert name of general partner]</w:t>
      </w:r>
      <w:r w:rsidR="007F7581">
        <w:rPr>
          <w:highlight w:val="lightGray"/>
        </w:rPr>
        <w:fldChar w:fldCharType="end"/>
      </w:r>
      <w:bookmarkEnd w:id="7"/>
      <w:r>
        <w:t xml:space="preserve"> (the “General Partner”), in its capacity as the general partner</w:t>
      </w:r>
      <w:r w:rsidR="003246D1">
        <w:t xml:space="preserve"> </w:t>
      </w:r>
      <w:r>
        <w:t xml:space="preserve">of the </w:t>
      </w:r>
      <w:r w:rsidR="003246D1">
        <w:t>Generator</w:t>
      </w:r>
      <w:r>
        <w:t>,</w:t>
      </w:r>
      <w:r w:rsidR="003246D1">
        <w:t xml:space="preserve"> dated </w:t>
      </w:r>
      <w:r w:rsidR="007F7581">
        <w:rPr>
          <w:highlight w:val="lightGray"/>
        </w:rPr>
        <w:fldChar w:fldCharType="begin">
          <w:ffData>
            <w:name w:val="Text3"/>
            <w:enabled/>
            <w:calcOnExit w:val="0"/>
            <w:textInput>
              <w:default w:val="[●]"/>
            </w:textInput>
          </w:ffData>
        </w:fldChar>
      </w:r>
      <w:bookmarkStart w:id="8" w:name="Text3"/>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w:t>
      </w:r>
      <w:r w:rsidR="007F7581">
        <w:rPr>
          <w:highlight w:val="lightGray"/>
        </w:rPr>
        <w:fldChar w:fldCharType="end"/>
      </w:r>
      <w:bookmarkEnd w:id="8"/>
      <w:r w:rsidR="003246D1">
        <w:t>, 20</w:t>
      </w:r>
      <w:r w:rsidR="007F7581">
        <w:rPr>
          <w:highlight w:val="lightGray"/>
        </w:rPr>
        <w:fldChar w:fldCharType="begin">
          <w:ffData>
            <w:name w:val="Text11"/>
            <w:enabled/>
            <w:calcOnExit w:val="0"/>
            <w:textInput>
              <w:default w:val="__"/>
            </w:textInput>
          </w:ffData>
        </w:fldChar>
      </w:r>
      <w:bookmarkStart w:id="9" w:name="Text11"/>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__</w:t>
      </w:r>
      <w:r w:rsidR="007F7581">
        <w:rPr>
          <w:highlight w:val="lightGray"/>
        </w:rPr>
        <w:fldChar w:fldCharType="end"/>
      </w:r>
      <w:bookmarkEnd w:id="9"/>
      <w:r w:rsidR="003246D1">
        <w:t xml:space="preserve"> as to the following factual </w:t>
      </w:r>
      <w:r w:rsidR="003246D1">
        <w:rPr>
          <w:rStyle w:val="BodyTextChar0"/>
        </w:rPr>
        <w:t>matters, and attaching the following:</w:t>
      </w:r>
    </w:p>
    <w:p w:rsidR="006908D7" w:rsidRPr="007F7581" w:rsidRDefault="007F7581">
      <w:pPr>
        <w:pStyle w:val="BodyText0"/>
        <w:numPr>
          <w:ilvl w:val="0"/>
          <w:numId w:val="6"/>
        </w:numPr>
        <w:ind w:left="2880" w:hanging="720"/>
        <w:rPr>
          <w:rFonts w:cs="Arial"/>
        </w:rPr>
      </w:pPr>
      <w:r>
        <w:rPr>
          <w:rFonts w:cs="Arial"/>
        </w:rPr>
        <w:fldChar w:fldCharType="begin">
          <w:ffData>
            <w:name w:val="Text27"/>
            <w:enabled/>
            <w:calcOnExit w:val="0"/>
            <w:textInput>
              <w:default w:val="[the extra-provincial registration of the General Partner]"/>
            </w:textInput>
          </w:ffData>
        </w:fldChar>
      </w:r>
      <w:bookmarkStart w:id="10" w:name="Text27"/>
      <w:r>
        <w:rPr>
          <w:rFonts w:cs="Arial"/>
        </w:rPr>
        <w:instrText xml:space="preserve"> FORMTEXT </w:instrText>
      </w:r>
      <w:r>
        <w:rPr>
          <w:rFonts w:cs="Arial"/>
        </w:rPr>
      </w:r>
      <w:r>
        <w:rPr>
          <w:rFonts w:cs="Arial"/>
        </w:rPr>
        <w:fldChar w:fldCharType="separate"/>
      </w:r>
      <w:r>
        <w:rPr>
          <w:rFonts w:cs="Arial"/>
          <w:noProof/>
        </w:rPr>
        <w:t>[the extra-provincial registration of the General Partner]</w:t>
      </w:r>
      <w:r>
        <w:rPr>
          <w:rFonts w:cs="Arial"/>
        </w:rPr>
        <w:fldChar w:fldCharType="end"/>
      </w:r>
      <w:bookmarkEnd w:id="10"/>
    </w:p>
    <w:p w:rsidR="006908D7" w:rsidRPr="007F7581" w:rsidRDefault="007F7581">
      <w:pPr>
        <w:pStyle w:val="BodyText0"/>
        <w:numPr>
          <w:ilvl w:val="0"/>
          <w:numId w:val="6"/>
        </w:numPr>
        <w:ind w:left="2880" w:hanging="720"/>
        <w:rPr>
          <w:rFonts w:cs="Arial"/>
        </w:rPr>
      </w:pPr>
      <w:r>
        <w:rPr>
          <w:rFonts w:cs="Arial"/>
        </w:rPr>
        <w:fldChar w:fldCharType="begin">
          <w:ffData>
            <w:name w:val="Text28"/>
            <w:enabled/>
            <w:calcOnExit w:val="0"/>
            <w:textInput>
              <w:default w:val="[the extra-provincial registration of the Generator]"/>
            </w:textInput>
          </w:ffData>
        </w:fldChar>
      </w:r>
      <w:bookmarkStart w:id="11" w:name="Text28"/>
      <w:r>
        <w:rPr>
          <w:rFonts w:cs="Arial"/>
        </w:rPr>
        <w:instrText xml:space="preserve"> FORMTEXT </w:instrText>
      </w:r>
      <w:r>
        <w:rPr>
          <w:rFonts w:cs="Arial"/>
        </w:rPr>
      </w:r>
      <w:r>
        <w:rPr>
          <w:rFonts w:cs="Arial"/>
        </w:rPr>
        <w:fldChar w:fldCharType="separate"/>
      </w:r>
      <w:r>
        <w:rPr>
          <w:rFonts w:cs="Arial"/>
          <w:noProof/>
        </w:rPr>
        <w:t>[the extra-provincial registration of the Generator]</w:t>
      </w:r>
      <w:r>
        <w:rPr>
          <w:rFonts w:cs="Arial"/>
        </w:rPr>
        <w:fldChar w:fldCharType="end"/>
      </w:r>
      <w:bookmarkEnd w:id="11"/>
    </w:p>
    <w:p w:rsidR="00175023" w:rsidRDefault="00175023" w:rsidP="00175023">
      <w:pPr>
        <w:pStyle w:val="BodyText0"/>
        <w:numPr>
          <w:ilvl w:val="0"/>
          <w:numId w:val="6"/>
        </w:numPr>
        <w:ind w:left="2880" w:hanging="720"/>
        <w:rPr>
          <w:rFonts w:cs="Arial"/>
        </w:rPr>
      </w:pPr>
      <w:r>
        <w:rPr>
          <w:rFonts w:cs="Arial"/>
        </w:rPr>
        <w:t>the Limited Partnership Agreement of the Generator</w:t>
      </w:r>
    </w:p>
    <w:p w:rsidR="00175023" w:rsidRPr="00175023" w:rsidRDefault="00175023" w:rsidP="00175023">
      <w:pPr>
        <w:pStyle w:val="BodyText0"/>
        <w:numPr>
          <w:ilvl w:val="0"/>
          <w:numId w:val="6"/>
        </w:numPr>
        <w:ind w:left="2880" w:hanging="720"/>
        <w:rPr>
          <w:rFonts w:cs="Arial"/>
        </w:rPr>
      </w:pPr>
      <w:r>
        <w:rPr>
          <w:rFonts w:cs="Arial"/>
        </w:rPr>
        <w:t xml:space="preserve">the </w:t>
      </w:r>
      <w:r w:rsidR="00456596">
        <w:rPr>
          <w:rFonts w:cs="Arial"/>
        </w:rPr>
        <w:t>Certificate</w:t>
      </w:r>
      <w:r>
        <w:rPr>
          <w:rFonts w:cs="Arial"/>
        </w:rPr>
        <w:t xml:space="preserve"> of Limited Partnership of the Generator</w:t>
      </w:r>
    </w:p>
    <w:p w:rsidR="00175023" w:rsidRDefault="00175023">
      <w:pPr>
        <w:pStyle w:val="BodyText0"/>
        <w:numPr>
          <w:ilvl w:val="0"/>
          <w:numId w:val="6"/>
        </w:numPr>
        <w:ind w:left="2880" w:hanging="720"/>
        <w:rPr>
          <w:rFonts w:cs="Arial"/>
        </w:rPr>
      </w:pPr>
      <w:r>
        <w:rPr>
          <w:rFonts w:cs="Arial"/>
        </w:rPr>
        <w:t>the Certificate and Articles of Incorporation of the General Partner;</w:t>
      </w:r>
    </w:p>
    <w:p w:rsidR="00175023" w:rsidRDefault="00175023">
      <w:pPr>
        <w:pStyle w:val="BodyText0"/>
        <w:numPr>
          <w:ilvl w:val="0"/>
          <w:numId w:val="6"/>
        </w:numPr>
        <w:ind w:left="2880" w:hanging="720"/>
        <w:rPr>
          <w:rFonts w:cs="Arial"/>
        </w:rPr>
      </w:pPr>
      <w:r>
        <w:rPr>
          <w:rFonts w:cs="Arial"/>
        </w:rPr>
        <w:t>the Bylaws of the General Partner;</w:t>
      </w:r>
    </w:p>
    <w:p w:rsidR="00175023" w:rsidRDefault="00175023">
      <w:pPr>
        <w:pStyle w:val="BodyText0"/>
        <w:numPr>
          <w:ilvl w:val="0"/>
          <w:numId w:val="6"/>
        </w:numPr>
        <w:ind w:left="2880" w:hanging="720"/>
        <w:rPr>
          <w:rFonts w:cs="Arial"/>
        </w:rPr>
      </w:pPr>
      <w:r>
        <w:rPr>
          <w:rFonts w:cs="Arial"/>
        </w:rPr>
        <w:t>certain resolutions of the directors of the General Partner;</w:t>
      </w:r>
    </w:p>
    <w:p w:rsidR="006908D7" w:rsidRPr="00BC305D" w:rsidRDefault="00175023" w:rsidP="00BC305D">
      <w:pPr>
        <w:pStyle w:val="BodyText0"/>
        <w:numPr>
          <w:ilvl w:val="0"/>
          <w:numId w:val="6"/>
        </w:numPr>
        <w:ind w:left="2880" w:hanging="720"/>
        <w:rPr>
          <w:rFonts w:cs="Arial"/>
        </w:rPr>
      </w:pPr>
      <w:r>
        <w:rPr>
          <w:rFonts w:cs="Arial"/>
        </w:rPr>
        <w:t>a certificate of incumbency of the General Partner;</w:t>
      </w:r>
      <w:r w:rsidR="00BC305D">
        <w:rPr>
          <w:rFonts w:cs="Arial"/>
        </w:rPr>
        <w:t xml:space="preserve"> </w:t>
      </w:r>
      <w:r w:rsidR="003246D1" w:rsidRPr="00BC305D">
        <w:rPr>
          <w:rFonts w:cs="Arial"/>
        </w:rPr>
        <w:t>and</w:t>
      </w:r>
    </w:p>
    <w:p w:rsidR="006908D7" w:rsidRDefault="003246D1">
      <w:pPr>
        <w:pStyle w:val="ListParagraph"/>
        <w:numPr>
          <w:ilvl w:val="0"/>
          <w:numId w:val="14"/>
        </w:numPr>
        <w:spacing w:before="240"/>
        <w:ind w:left="1440" w:hanging="720"/>
      </w:pPr>
      <w:proofErr w:type="gramStart"/>
      <w:r>
        <w:lastRenderedPageBreak/>
        <w:t>a</w:t>
      </w:r>
      <w:proofErr w:type="gramEnd"/>
      <w:r>
        <w:t xml:space="preserve"> certificate of status dated </w:t>
      </w:r>
      <w:r w:rsidR="007F7581">
        <w:rPr>
          <w:highlight w:val="lightGray"/>
        </w:rPr>
        <w:fldChar w:fldCharType="begin">
          <w:ffData>
            <w:name w:val="Text16"/>
            <w:enabled/>
            <w:calcOnExit w:val="0"/>
            <w:textInput>
              <w:default w:val="[●]"/>
            </w:textInput>
          </w:ffData>
        </w:fldChar>
      </w:r>
      <w:bookmarkStart w:id="12" w:name="Text16"/>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w:t>
      </w:r>
      <w:r w:rsidR="007F7581">
        <w:rPr>
          <w:highlight w:val="lightGray"/>
        </w:rPr>
        <w:fldChar w:fldCharType="end"/>
      </w:r>
      <w:bookmarkEnd w:id="12"/>
      <w:r>
        <w:t>, 20</w:t>
      </w:r>
      <w:r w:rsidR="007F7581">
        <w:rPr>
          <w:highlight w:val="lightGray"/>
        </w:rPr>
        <w:fldChar w:fldCharType="begin">
          <w:ffData>
            <w:name w:val="Text17"/>
            <w:enabled/>
            <w:calcOnExit w:val="0"/>
            <w:textInput>
              <w:default w:val="__"/>
            </w:textInput>
          </w:ffData>
        </w:fldChar>
      </w:r>
      <w:bookmarkStart w:id="13" w:name="Text17"/>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__</w:t>
      </w:r>
      <w:r w:rsidR="007F7581">
        <w:rPr>
          <w:highlight w:val="lightGray"/>
        </w:rPr>
        <w:fldChar w:fldCharType="end"/>
      </w:r>
      <w:bookmarkEnd w:id="13"/>
      <w:r>
        <w:t xml:space="preserve"> and issued by </w:t>
      </w:r>
      <w:r w:rsidR="007F7581">
        <w:rPr>
          <w:highlight w:val="lightGray"/>
        </w:rPr>
        <w:fldChar w:fldCharType="begin">
          <w:ffData>
            <w:name w:val="Text29"/>
            <w:enabled/>
            <w:calcOnExit w:val="0"/>
            <w:textInput>
              <w:default w:val="[Alberta Corporate Registries]"/>
            </w:textInput>
          </w:ffData>
        </w:fldChar>
      </w:r>
      <w:bookmarkStart w:id="14" w:name="Text29"/>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[Alberta Corporate Registries]</w:t>
      </w:r>
      <w:r w:rsidR="007F7581">
        <w:rPr>
          <w:highlight w:val="lightGray"/>
        </w:rPr>
        <w:fldChar w:fldCharType="end"/>
      </w:r>
      <w:bookmarkEnd w:id="14"/>
      <w:r>
        <w:t xml:space="preserve"> in respect of the </w:t>
      </w:r>
      <w:r w:rsidR="00BC305D">
        <w:t xml:space="preserve">General Partner and a trade name/partnership search dated </w:t>
      </w:r>
      <w:r w:rsidR="007F7581">
        <w:rPr>
          <w:highlight w:val="lightGray"/>
        </w:rPr>
        <w:fldChar w:fldCharType="begin">
          <w:ffData>
            <w:name w:val=""/>
            <w:enabled/>
            <w:calcOnExit w:val="0"/>
            <w:textInput>
              <w:default w:val="[●]"/>
            </w:textInput>
          </w:ffData>
        </w:fldChar>
      </w:r>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w:t>
      </w:r>
      <w:r w:rsidR="007F7581">
        <w:rPr>
          <w:highlight w:val="lightGray"/>
        </w:rPr>
        <w:fldChar w:fldCharType="end"/>
      </w:r>
      <w:r w:rsidR="00BC305D">
        <w:t>, 20</w:t>
      </w:r>
      <w:r w:rsidR="007F7581">
        <w:rPr>
          <w:highlight w:val="lightGray"/>
        </w:rPr>
        <w:fldChar w:fldCharType="begin">
          <w:ffData>
            <w:name w:val=""/>
            <w:enabled/>
            <w:calcOnExit w:val="0"/>
            <w:textInput>
              <w:default w:val="__"/>
            </w:textInput>
          </w:ffData>
        </w:fldChar>
      </w:r>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__</w:t>
      </w:r>
      <w:r w:rsidR="007F7581">
        <w:rPr>
          <w:highlight w:val="lightGray"/>
        </w:rPr>
        <w:fldChar w:fldCharType="end"/>
      </w:r>
      <w:r w:rsidR="00BC305D">
        <w:t xml:space="preserve"> and issued by </w:t>
      </w:r>
      <w:r w:rsidR="007F7581">
        <w:rPr>
          <w:highlight w:val="lightGray"/>
        </w:rPr>
        <w:fldChar w:fldCharType="begin">
          <w:ffData>
            <w:name w:val="Text30"/>
            <w:enabled/>
            <w:calcOnExit w:val="0"/>
            <w:textInput>
              <w:default w:val="[Alberta Corporate Registries]"/>
            </w:textInput>
          </w:ffData>
        </w:fldChar>
      </w:r>
      <w:bookmarkStart w:id="15" w:name="Text30"/>
      <w:r w:rsidR="007F7581">
        <w:rPr>
          <w:highlight w:val="lightGray"/>
        </w:rPr>
        <w:instrText xml:space="preserve"> FORMTEXT </w:instrText>
      </w:r>
      <w:r w:rsidR="007F7581">
        <w:rPr>
          <w:highlight w:val="lightGray"/>
        </w:rPr>
      </w:r>
      <w:r w:rsidR="007F7581">
        <w:rPr>
          <w:highlight w:val="lightGray"/>
        </w:rPr>
        <w:fldChar w:fldCharType="separate"/>
      </w:r>
      <w:r w:rsidR="007F7581">
        <w:rPr>
          <w:noProof/>
          <w:highlight w:val="lightGray"/>
        </w:rPr>
        <w:t>[Alberta Corporate Registries]</w:t>
      </w:r>
      <w:r w:rsidR="007F7581">
        <w:rPr>
          <w:highlight w:val="lightGray"/>
        </w:rPr>
        <w:fldChar w:fldCharType="end"/>
      </w:r>
      <w:bookmarkEnd w:id="15"/>
      <w:r w:rsidR="00BC305D">
        <w:t xml:space="preserve"> in respect of the Generator</w:t>
      </w:r>
      <w:r>
        <w:t>.</w:t>
      </w:r>
    </w:p>
    <w:p w:rsidR="006908D7" w:rsidRDefault="003246D1">
      <w:pPr>
        <w:pStyle w:val="BodyText0"/>
        <w:ind w:left="720"/>
        <w:rPr>
          <w:rFonts w:cs="Arial"/>
          <w:b/>
          <w:i/>
        </w:rPr>
      </w:pPr>
      <w:r>
        <w:rPr>
          <w:rFonts w:cs="Arial"/>
        </w:rPr>
        <w:t>We have not reviewed, except as described above, any other corporate records of the Generator.  We have relied upon the certificates referred to in paragraphs A and B above with respect to the accuracy of the factual matters contained therein and we have not performed any independent investigation or verification of such factual matters. Notwithstanding the foregoing, none of the members of our firm who provided legal services to the Generator in connection with the Agreement or the Debenture is actually aware of any facts or circumstances that would render any of the facts and matters in those certificates inaccurate in any material respect.</w:t>
      </w:r>
    </w:p>
    <w:p w:rsidR="006908D7" w:rsidRDefault="003246D1">
      <w:pPr>
        <w:pStyle w:val="Pleading1L1"/>
        <w:numPr>
          <w:ilvl w:val="0"/>
          <w:numId w:val="4"/>
        </w:numPr>
        <w:rPr>
          <w:rFonts w:cs="Arial"/>
        </w:rPr>
      </w:pPr>
      <w:bookmarkStart w:id="16" w:name="_Toc484981495"/>
      <w:r>
        <w:rPr>
          <w:rFonts w:cs="Arial"/>
        </w:rPr>
        <w:t>Assumptions</w:t>
      </w:r>
      <w:bookmarkEnd w:id="16"/>
    </w:p>
    <w:p w:rsidR="006908D7" w:rsidRDefault="003246D1">
      <w:pPr>
        <w:pStyle w:val="BodyText0"/>
        <w:keepNext/>
        <w:rPr>
          <w:rFonts w:cs="Arial"/>
        </w:rPr>
      </w:pPr>
      <w:r>
        <w:rPr>
          <w:rFonts w:cs="Arial"/>
        </w:rPr>
        <w:t>We have assumed:</w:t>
      </w:r>
    </w:p>
    <w:p w:rsidR="006908D7" w:rsidRDefault="003246D1">
      <w:pPr>
        <w:pStyle w:val="ListParagraph"/>
        <w:numPr>
          <w:ilvl w:val="0"/>
          <w:numId w:val="7"/>
        </w:numPr>
        <w:ind w:left="1440" w:hanging="720"/>
        <w:contextualSpacing w:val="0"/>
      </w:pPr>
      <w:r>
        <w:t>with respect to all documents (including the Debenture) examined by us (collectively the "Documents"), the genuineness of all signatures and the conformity with originals of all documents submitted to us as photocopies, by facsimile transmission or by Portable Document Format ("PDF");</w:t>
      </w:r>
    </w:p>
    <w:p w:rsidR="006908D7" w:rsidRDefault="003246D1">
      <w:pPr>
        <w:pStyle w:val="ListParagraph"/>
        <w:numPr>
          <w:ilvl w:val="0"/>
          <w:numId w:val="7"/>
        </w:numPr>
        <w:ind w:left="1440" w:hanging="720"/>
        <w:contextualSpacing w:val="0"/>
      </w:pPr>
      <w:r>
        <w:t xml:space="preserve">that all facts set forth in the official public records, certificates and documents supplied by public officials or governmental authorities or otherwise conveyed to us by public officials or governmental authorities are complete, true and accurate; </w:t>
      </w:r>
    </w:p>
    <w:p w:rsidR="006908D7" w:rsidRDefault="003246D1">
      <w:pPr>
        <w:pStyle w:val="ListParagraph"/>
        <w:numPr>
          <w:ilvl w:val="0"/>
          <w:numId w:val="7"/>
        </w:numPr>
        <w:ind w:left="1440" w:hanging="720"/>
        <w:contextualSpacing w:val="0"/>
      </w:pPr>
      <w:r>
        <w:t xml:space="preserve">subject to actual awareness to the contrary of those members of our firm who provided legal services to the Generator in connection with the Debenture, that all facts set forth in the officer's certificate referenced above are complete, true and accurate; </w:t>
      </w:r>
    </w:p>
    <w:p w:rsidR="006908D7" w:rsidRDefault="003246D1">
      <w:pPr>
        <w:pStyle w:val="ListParagraph"/>
        <w:numPr>
          <w:ilvl w:val="0"/>
          <w:numId w:val="7"/>
        </w:numPr>
        <w:ind w:left="1440" w:hanging="720"/>
        <w:contextualSpacing w:val="0"/>
      </w:pPr>
      <w:r>
        <w:t>that the certificate of status</w:t>
      </w:r>
      <w:r w:rsidR="00456596">
        <w:t xml:space="preserve"> and the trade name/partnership search referred to above continue</w:t>
      </w:r>
      <w:r>
        <w:t xml:space="preserve"> to be accurate as of the date hereof;</w:t>
      </w:r>
    </w:p>
    <w:p w:rsidR="006908D7" w:rsidRDefault="003246D1">
      <w:pPr>
        <w:pStyle w:val="ListParagraph"/>
        <w:numPr>
          <w:ilvl w:val="0"/>
          <w:numId w:val="7"/>
        </w:numPr>
        <w:ind w:left="1440" w:hanging="720"/>
        <w:contextualSpacing w:val="0"/>
      </w:pPr>
      <w:r>
        <w:t>value has been given by AESO to the Generator and the parties to the Debenture have not agreed, orally or in writing, to postpone the time for attachment of any security interest expressed to have been created by the Debenture; and</w:t>
      </w:r>
    </w:p>
    <w:p w:rsidR="006908D7" w:rsidRDefault="003246D1">
      <w:pPr>
        <w:pStyle w:val="ListParagraph"/>
        <w:numPr>
          <w:ilvl w:val="0"/>
          <w:numId w:val="7"/>
        </w:numPr>
        <w:ind w:left="1440" w:hanging="720"/>
        <w:contextualSpacing w:val="0"/>
      </w:pPr>
      <w:proofErr w:type="gramStart"/>
      <w:r>
        <w:t>the</w:t>
      </w:r>
      <w:proofErr w:type="gramEnd"/>
      <w:r>
        <w:t xml:space="preserve"> property and assets subject to the security interests created by the Debenture do not include consumer goods or serial number goods as defined in the </w:t>
      </w:r>
      <w:r>
        <w:rPr>
          <w:i/>
        </w:rPr>
        <w:t>Personal Property Security Act</w:t>
      </w:r>
      <w:r>
        <w:t xml:space="preserve"> (Alberta) (the "</w:t>
      </w:r>
      <w:r>
        <w:rPr>
          <w:b/>
        </w:rPr>
        <w:t>Alberta PPSA</w:t>
      </w:r>
      <w:r>
        <w:t>").</w:t>
      </w:r>
    </w:p>
    <w:p w:rsidR="006908D7" w:rsidRDefault="003246D1">
      <w:pPr>
        <w:pStyle w:val="Pleading1L1"/>
        <w:numPr>
          <w:ilvl w:val="0"/>
          <w:numId w:val="4"/>
        </w:numPr>
        <w:rPr>
          <w:rFonts w:cs="Arial"/>
        </w:rPr>
      </w:pPr>
      <w:bookmarkStart w:id="17" w:name="_Toc484981496"/>
      <w:r>
        <w:rPr>
          <w:rFonts w:cs="Arial"/>
        </w:rPr>
        <w:t>Laws Addressed</w:t>
      </w:r>
      <w:bookmarkEnd w:id="17"/>
      <w:r>
        <w:rPr>
          <w:rFonts w:cs="Arial"/>
        </w:rPr>
        <w:t xml:space="preserve"> </w:t>
      </w:r>
    </w:p>
    <w:p w:rsidR="006908D7" w:rsidRDefault="003246D1">
      <w:pPr>
        <w:pStyle w:val="BodyText0"/>
        <w:rPr>
          <w:rFonts w:cs="Arial"/>
        </w:rPr>
      </w:pPr>
      <w:r>
        <w:rPr>
          <w:rFonts w:cs="Arial"/>
        </w:rPr>
        <w:t>Our opinion is expressed only with respect to the laws of the Province of Alberta and the federal laws of Canada applicable therein in effect on the date of this opinion (collectively the "</w:t>
      </w:r>
      <w:r>
        <w:rPr>
          <w:rFonts w:cs="Arial"/>
          <w:b/>
        </w:rPr>
        <w:t>Laws</w:t>
      </w:r>
      <w:r>
        <w:rPr>
          <w:rFonts w:cs="Arial"/>
        </w:rPr>
        <w:t xml:space="preserve">"). </w:t>
      </w:r>
    </w:p>
    <w:p w:rsidR="006908D7" w:rsidRDefault="003246D1">
      <w:pPr>
        <w:pStyle w:val="Pleading1L1"/>
        <w:numPr>
          <w:ilvl w:val="0"/>
          <w:numId w:val="4"/>
        </w:numPr>
        <w:rPr>
          <w:rFonts w:cs="Arial"/>
        </w:rPr>
      </w:pPr>
      <w:bookmarkStart w:id="18" w:name="_Toc484981497"/>
      <w:r>
        <w:rPr>
          <w:rFonts w:cs="Arial"/>
        </w:rPr>
        <w:t>Opinions</w:t>
      </w:r>
      <w:bookmarkEnd w:id="18"/>
    </w:p>
    <w:p w:rsidR="006908D7" w:rsidRDefault="003246D1">
      <w:pPr>
        <w:pStyle w:val="BodyText0"/>
        <w:keepNext/>
        <w:rPr>
          <w:rFonts w:cs="Arial"/>
          <w:b/>
          <w:i/>
        </w:rPr>
      </w:pPr>
      <w:r>
        <w:rPr>
          <w:rFonts w:cs="Arial"/>
        </w:rPr>
        <w:t xml:space="preserve">Based upon and subject to the foregoing assumptions, limitations and qualifications and the qualifications hereinafter expressed, including, without limitation, the qualifications set out in Schedule "A" attached hereto, we are of the opinion that: </w:t>
      </w:r>
    </w:p>
    <w:p w:rsidR="00E13108" w:rsidRDefault="00E13108" w:rsidP="00E13108">
      <w:pPr>
        <w:pStyle w:val="ListParagraph"/>
        <w:numPr>
          <w:ilvl w:val="0"/>
          <w:numId w:val="8"/>
        </w:numPr>
        <w:ind w:left="1440" w:hanging="720"/>
        <w:contextualSpacing w:val="0"/>
      </w:pPr>
      <w:r>
        <w:t xml:space="preserve">The General Partner is duly incorporated </w:t>
      </w:r>
      <w:r w:rsidR="00456596">
        <w:t xml:space="preserve">and existing </w:t>
      </w:r>
      <w:r>
        <w:t xml:space="preserve">under the laws of </w:t>
      </w:r>
      <w:r w:rsidR="007F7581">
        <w:rPr>
          <w:b/>
          <w:highlight w:val="lightGray"/>
        </w:rPr>
        <w:fldChar w:fldCharType="begin">
          <w:ffData>
            <w:name w:val=""/>
            <w:enabled/>
            <w:calcOnExit w:val="0"/>
            <w:textInput>
              <w:default w:val="[●]"/>
            </w:textInput>
          </w:ffData>
        </w:fldChar>
      </w:r>
      <w:r w:rsidR="007F7581">
        <w:rPr>
          <w:b/>
          <w:highlight w:val="lightGray"/>
        </w:rPr>
        <w:instrText xml:space="preserve"> FORMTEXT </w:instrText>
      </w:r>
      <w:r w:rsidR="007F7581">
        <w:rPr>
          <w:b/>
          <w:highlight w:val="lightGray"/>
        </w:rPr>
      </w:r>
      <w:r w:rsidR="007F7581">
        <w:rPr>
          <w:b/>
          <w:highlight w:val="lightGray"/>
        </w:rPr>
        <w:fldChar w:fldCharType="separate"/>
      </w:r>
      <w:r w:rsidR="007F7581">
        <w:rPr>
          <w:b/>
          <w:noProof/>
          <w:highlight w:val="lightGray"/>
        </w:rPr>
        <w:t>[●]</w:t>
      </w:r>
      <w:r w:rsidR="007F7581">
        <w:rPr>
          <w:b/>
          <w:highlight w:val="lightGray"/>
        </w:rPr>
        <w:fldChar w:fldCharType="end"/>
      </w:r>
      <w:r>
        <w:t>;</w:t>
      </w:r>
    </w:p>
    <w:p w:rsidR="006908D7" w:rsidRDefault="003246D1">
      <w:pPr>
        <w:pStyle w:val="ListParagraph"/>
        <w:numPr>
          <w:ilvl w:val="0"/>
          <w:numId w:val="8"/>
        </w:numPr>
        <w:ind w:left="1440" w:hanging="720"/>
        <w:contextualSpacing w:val="0"/>
      </w:pPr>
      <w:r>
        <w:t xml:space="preserve">The Generator is duly </w:t>
      </w:r>
      <w:r w:rsidR="009476A7" w:rsidRPr="009476A7">
        <w:t>formed</w:t>
      </w:r>
      <w:r>
        <w:t xml:space="preserve"> </w:t>
      </w:r>
      <w:r w:rsidR="00456596">
        <w:t xml:space="preserve">and existing </w:t>
      </w:r>
      <w:r>
        <w:t xml:space="preserve">under the laws of </w:t>
      </w:r>
      <w:r w:rsidR="007F7581">
        <w:rPr>
          <w:b/>
          <w:highlight w:val="lightGray"/>
        </w:rPr>
        <w:fldChar w:fldCharType="begin">
          <w:ffData>
            <w:name w:val="Text20"/>
            <w:enabled/>
            <w:calcOnExit w:val="0"/>
            <w:textInput>
              <w:default w:val="[●]"/>
            </w:textInput>
          </w:ffData>
        </w:fldChar>
      </w:r>
      <w:bookmarkStart w:id="19" w:name="Text20"/>
      <w:r w:rsidR="007F7581">
        <w:rPr>
          <w:b/>
          <w:highlight w:val="lightGray"/>
        </w:rPr>
        <w:instrText xml:space="preserve"> FORMTEXT </w:instrText>
      </w:r>
      <w:r w:rsidR="007F7581">
        <w:rPr>
          <w:b/>
          <w:highlight w:val="lightGray"/>
        </w:rPr>
      </w:r>
      <w:r w:rsidR="007F7581">
        <w:rPr>
          <w:b/>
          <w:highlight w:val="lightGray"/>
        </w:rPr>
        <w:fldChar w:fldCharType="separate"/>
      </w:r>
      <w:r w:rsidR="007F7581">
        <w:rPr>
          <w:b/>
          <w:noProof/>
          <w:highlight w:val="lightGray"/>
        </w:rPr>
        <w:t>[●]</w:t>
      </w:r>
      <w:r w:rsidR="007F7581">
        <w:rPr>
          <w:b/>
          <w:highlight w:val="lightGray"/>
        </w:rPr>
        <w:fldChar w:fldCharType="end"/>
      </w:r>
      <w:bookmarkEnd w:id="19"/>
      <w:r>
        <w:t>;</w:t>
      </w:r>
    </w:p>
    <w:p w:rsidR="00E13108" w:rsidRDefault="00E13108" w:rsidP="00E13108">
      <w:pPr>
        <w:pStyle w:val="ListParagraph"/>
        <w:numPr>
          <w:ilvl w:val="0"/>
          <w:numId w:val="8"/>
        </w:numPr>
        <w:ind w:left="1440" w:hanging="720"/>
        <w:contextualSpacing w:val="0"/>
      </w:pPr>
      <w:r>
        <w:lastRenderedPageBreak/>
        <w:t>The General Partner if not incorporated in Alberta is duly registered to carry on business in the Province of Alberta (if necessary);</w:t>
      </w:r>
    </w:p>
    <w:p w:rsidR="00E13108" w:rsidRDefault="003246D1" w:rsidP="00E13108">
      <w:pPr>
        <w:pStyle w:val="ListParagraph"/>
        <w:numPr>
          <w:ilvl w:val="0"/>
          <w:numId w:val="8"/>
        </w:numPr>
        <w:ind w:left="1440" w:hanging="720"/>
        <w:contextualSpacing w:val="0"/>
      </w:pPr>
      <w:r>
        <w:t xml:space="preserve">The Generator if not </w:t>
      </w:r>
      <w:r w:rsidR="009476A7" w:rsidRPr="009476A7">
        <w:t>formed</w:t>
      </w:r>
      <w:r>
        <w:t xml:space="preserve"> in Alberta is duly registered to carry on business in the Province of Alberta (if necessary);</w:t>
      </w:r>
    </w:p>
    <w:p w:rsidR="006908D7" w:rsidRDefault="003246D1">
      <w:pPr>
        <w:pStyle w:val="ListParagraph"/>
        <w:numPr>
          <w:ilvl w:val="0"/>
          <w:numId w:val="8"/>
        </w:numPr>
        <w:ind w:left="1440" w:hanging="720"/>
        <w:contextualSpacing w:val="0"/>
      </w:pPr>
      <w:r>
        <w:t xml:space="preserve">The execution and delivery by the Generator of the Debenture and the performance by the Generator of its obligations thereunder have been duly authorized by all necessary </w:t>
      </w:r>
      <w:r w:rsidR="00D628C9">
        <w:t>corporate and partnership action</w:t>
      </w:r>
      <w:r>
        <w:t xml:space="preserve">. The Generator has full </w:t>
      </w:r>
      <w:r w:rsidR="00D628C9" w:rsidRPr="00D628C9">
        <w:t>partnership</w:t>
      </w:r>
      <w:r>
        <w:t xml:space="preserve"> power, capacity and authority to execute and deliver the Debenture and to perform and observe its obligations thereunder.</w:t>
      </w:r>
    </w:p>
    <w:p w:rsidR="006908D7" w:rsidRDefault="003246D1">
      <w:pPr>
        <w:pStyle w:val="ListParagraph"/>
        <w:numPr>
          <w:ilvl w:val="0"/>
          <w:numId w:val="8"/>
        </w:numPr>
        <w:ind w:left="1440" w:hanging="720"/>
        <w:contextualSpacing w:val="0"/>
      </w:pPr>
      <w:r>
        <w:t>All authorizations, approvals and other actions by, and all notices to and filings, registrations or recordings with, any governmental authority or regulatory body of the Province of Alberta required for the due execution and delivery by the Generator of the Debenture or to ensure the legality, validity and binding nature of the Debenture have been obtained.</w:t>
      </w:r>
    </w:p>
    <w:p w:rsidR="006908D7" w:rsidRDefault="003246D1">
      <w:pPr>
        <w:numPr>
          <w:ilvl w:val="0"/>
          <w:numId w:val="8"/>
        </w:numPr>
        <w:ind w:left="1440" w:hanging="720"/>
        <w:rPr>
          <w:lang w:eastAsia="en-CA"/>
        </w:rPr>
      </w:pPr>
      <w:r>
        <w:rPr>
          <w:lang w:eastAsia="en-CA"/>
        </w:rPr>
        <w:t>The execution and delivery by the Generator of the Debenture and the performance of its obligations thereunder:</w:t>
      </w:r>
    </w:p>
    <w:p w:rsidR="006908D7" w:rsidRDefault="003246D1">
      <w:pPr>
        <w:numPr>
          <w:ilvl w:val="1"/>
          <w:numId w:val="9"/>
        </w:numPr>
        <w:ind w:left="2160" w:hanging="720"/>
        <w:rPr>
          <w:lang w:eastAsia="en-CA"/>
        </w:rPr>
      </w:pPr>
      <w:r>
        <w:rPr>
          <w:lang w:eastAsia="en-CA"/>
        </w:rPr>
        <w:t>do not contravene or conflict with any</w:t>
      </w:r>
      <w:r w:rsidR="00D628C9">
        <w:rPr>
          <w:lang w:eastAsia="en-CA"/>
        </w:rPr>
        <w:t xml:space="preserve"> Laws or any laws of the jurisdiction wherein the Generator is formed;</w:t>
      </w:r>
      <w:r>
        <w:rPr>
          <w:lang w:eastAsia="en-CA"/>
        </w:rPr>
        <w:t xml:space="preserve"> </w:t>
      </w:r>
    </w:p>
    <w:p w:rsidR="006908D7" w:rsidRDefault="003246D1">
      <w:pPr>
        <w:numPr>
          <w:ilvl w:val="1"/>
          <w:numId w:val="9"/>
        </w:numPr>
        <w:ind w:left="2160" w:hanging="720"/>
        <w:rPr>
          <w:lang w:eastAsia="en-CA"/>
        </w:rPr>
      </w:pPr>
      <w:r>
        <w:rPr>
          <w:lang w:eastAsia="en-CA"/>
        </w:rPr>
        <w:t>do not contravene or conflict with any provision of the articles or by-laws of the Generator; and</w:t>
      </w:r>
    </w:p>
    <w:p w:rsidR="006908D7" w:rsidRDefault="003246D1">
      <w:pPr>
        <w:numPr>
          <w:ilvl w:val="1"/>
          <w:numId w:val="9"/>
        </w:numPr>
        <w:ind w:left="2160" w:hanging="720"/>
        <w:rPr>
          <w:lang w:eastAsia="en-CA"/>
        </w:rPr>
      </w:pPr>
      <w:proofErr w:type="gramStart"/>
      <w:r>
        <w:rPr>
          <w:lang w:eastAsia="en-CA"/>
        </w:rPr>
        <w:t>is</w:t>
      </w:r>
      <w:proofErr w:type="gramEnd"/>
      <w:r>
        <w:rPr>
          <w:lang w:eastAsia="en-CA"/>
        </w:rPr>
        <w:t xml:space="preserve"> not restricted by any agreements or declarati</w:t>
      </w:r>
      <w:r>
        <w:rPr>
          <w:sz w:val="22"/>
          <w:lang w:eastAsia="en-CA"/>
        </w:rPr>
        <w:t>o</w:t>
      </w:r>
      <w:r>
        <w:rPr>
          <w:lang w:eastAsia="en-CA"/>
        </w:rPr>
        <w:t>ns to which the Generator or its directors are party.</w:t>
      </w:r>
    </w:p>
    <w:p w:rsidR="006908D7" w:rsidRDefault="003246D1">
      <w:pPr>
        <w:pStyle w:val="ListParagraph"/>
        <w:numPr>
          <w:ilvl w:val="0"/>
          <w:numId w:val="8"/>
        </w:numPr>
        <w:ind w:left="1440" w:hanging="720"/>
        <w:contextualSpacing w:val="0"/>
      </w:pPr>
      <w:r>
        <w:t>The Debenture has been duly executed and delivered by the Generator to the AESO and constitutes legal, valid and binding obligations of the Generator enforceable against it in accordance with its terms.</w:t>
      </w:r>
    </w:p>
    <w:p w:rsidR="006908D7" w:rsidRDefault="003246D1">
      <w:pPr>
        <w:pStyle w:val="ListParagraph"/>
        <w:numPr>
          <w:ilvl w:val="0"/>
          <w:numId w:val="8"/>
        </w:numPr>
        <w:ind w:left="1440" w:hanging="720"/>
        <w:contextualSpacing w:val="0"/>
      </w:pPr>
      <w:r>
        <w:t>The Debenture creates a valid security interest in favour of AESO in the personal property described therein to which the Alberta PPSA applies and in which the Generator now has rights and is sufficient to create a valid security interest in favour of AESO in any such personal property in which the Generator hereafter acquire rights when those rights are acquired by the Generator, in each case to secure payment and performance of the obligations described in the Debenture as being secured thereby.</w:t>
      </w:r>
    </w:p>
    <w:p w:rsidR="006908D7" w:rsidRDefault="003246D1">
      <w:pPr>
        <w:pStyle w:val="Pleading1L1"/>
        <w:numPr>
          <w:ilvl w:val="0"/>
          <w:numId w:val="4"/>
        </w:numPr>
        <w:rPr>
          <w:rFonts w:cs="Arial"/>
        </w:rPr>
      </w:pPr>
      <w:bookmarkStart w:id="20" w:name="_Toc484981498"/>
      <w:r>
        <w:rPr>
          <w:rFonts w:cs="Arial"/>
        </w:rPr>
        <w:t>Reliance</w:t>
      </w:r>
      <w:bookmarkEnd w:id="20"/>
    </w:p>
    <w:p w:rsidR="006908D7" w:rsidRDefault="003246D1">
      <w:pPr>
        <w:pStyle w:val="BodyText0"/>
        <w:rPr>
          <w:rFonts w:cs="Arial"/>
        </w:rPr>
      </w:pPr>
      <w:r>
        <w:rPr>
          <w:rFonts w:cs="Arial"/>
        </w:rPr>
        <w:t>This opinion is solely for the benefit of the AESO in connection with the Project and may not be used or relied upon by any other person or for any other purpose, or quoted or made public in any other way without our prior written consent.  The opinions stated herein are limited to the matters expressly stated herein and no opinion is implied or is to be inferred beyond the matters expressly stated in this letter.</w:t>
      </w:r>
    </w:p>
    <w:p w:rsidR="006908D7" w:rsidRDefault="003246D1">
      <w:pPr>
        <w:pStyle w:val="BodyText0"/>
        <w:rPr>
          <w:rFonts w:cs="Arial"/>
        </w:rPr>
      </w:pPr>
      <w:r>
        <w:rPr>
          <w:rFonts w:cs="Arial"/>
        </w:rPr>
        <w:t>This opinion is given as of the above date and we expressly disclaim any undertaking or obligation to modify this opinion to reflect changes in facts or developments in the Laws which may occur after the date hereof.</w:t>
      </w:r>
    </w:p>
    <w:p w:rsidR="006908D7" w:rsidRDefault="003246D1">
      <w:pPr>
        <w:pStyle w:val="BodyText0"/>
        <w:rPr>
          <w:rFonts w:cs="Arial"/>
        </w:rPr>
      </w:pPr>
      <w:r>
        <w:rPr>
          <w:rFonts w:cs="Arial"/>
        </w:rPr>
        <w:t>Yours very truly,</w:t>
      </w:r>
    </w:p>
    <w:p w:rsidR="00B1152A" w:rsidRPr="00B1152A" w:rsidRDefault="007F7581" w:rsidP="00B1152A">
      <w:pPr>
        <w:pStyle w:val="BodyText0"/>
        <w:rPr>
          <w:rFonts w:cs="Arial"/>
        </w:rPr>
      </w:pPr>
      <w:r>
        <w:rPr>
          <w:rFonts w:cs="Arial"/>
          <w:highlight w:val="lightGray"/>
        </w:rPr>
        <w:fldChar w:fldCharType="begin">
          <w:ffData>
            <w:name w:val="Text25"/>
            <w:enabled/>
            <w:calcOnExit w:val="0"/>
            <w:textInput>
              <w:default w:val="[Name of Firm]"/>
            </w:textInput>
          </w:ffData>
        </w:fldChar>
      </w:r>
      <w:bookmarkStart w:id="21" w:name="Text25"/>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[Name of Firm]</w:t>
      </w:r>
      <w:r>
        <w:rPr>
          <w:rFonts w:cs="Arial"/>
          <w:highlight w:val="lightGray"/>
        </w:rPr>
        <w:fldChar w:fldCharType="end"/>
      </w:r>
      <w:bookmarkEnd w:id="21"/>
    </w:p>
    <w:p w:rsidR="006908D7" w:rsidRDefault="003246D1">
      <w:pPr>
        <w:keepNext/>
        <w:keepLines/>
        <w:jc w:val="center"/>
        <w:rPr>
          <w:b/>
          <w:sz w:val="24"/>
          <w:szCs w:val="20"/>
        </w:rPr>
      </w:pPr>
      <w:r>
        <w:rPr>
          <w:b/>
          <w:sz w:val="24"/>
          <w:szCs w:val="20"/>
        </w:rPr>
        <w:lastRenderedPageBreak/>
        <w:t>SCHEDULE A</w:t>
      </w:r>
    </w:p>
    <w:p w:rsidR="006908D7" w:rsidRDefault="003246D1">
      <w:pPr>
        <w:keepNext/>
        <w:keepLines/>
        <w:jc w:val="center"/>
        <w:rPr>
          <w:b/>
          <w:sz w:val="24"/>
          <w:szCs w:val="20"/>
        </w:rPr>
      </w:pPr>
      <w:r>
        <w:rPr>
          <w:b/>
          <w:sz w:val="24"/>
          <w:szCs w:val="20"/>
        </w:rPr>
        <w:t>QUALIFICATIONS TO OPINION</w:t>
      </w:r>
    </w:p>
    <w:p w:rsidR="006908D7" w:rsidRDefault="003246D1">
      <w:pPr>
        <w:rPr>
          <w:szCs w:val="20"/>
        </w:rPr>
      </w:pPr>
      <w:r>
        <w:rPr>
          <w:szCs w:val="20"/>
        </w:rPr>
        <w:t>The following qualifications apply to our opinion:</w:t>
      </w:r>
    </w:p>
    <w:p w:rsidR="006908D7" w:rsidRDefault="003246D1">
      <w:pPr>
        <w:pStyle w:val="Bullets1L2"/>
        <w:rPr>
          <w:szCs w:val="20"/>
        </w:rPr>
      </w:pPr>
      <w:r>
        <w:t>the enforceability of the Debenture may be limited by applicable bankruptcy, winding-up insolvency, moratorium, reorganization, liquidation, arrangement, fraudulent preference and conveyance, assignment and preference and other similar laws and judicial decisions affecting creditors' rights generally;</w:t>
      </w:r>
    </w:p>
    <w:p w:rsidR="006908D7" w:rsidRDefault="003246D1">
      <w:pPr>
        <w:pStyle w:val="Bullets1L2"/>
      </w:pPr>
      <w:proofErr w:type="gramStart"/>
      <w:r>
        <w:t>the</w:t>
      </w:r>
      <w:proofErr w:type="gramEnd"/>
      <w:r>
        <w:t xml:space="preserve"> enforceability of the Debenture may be limited by equitable limitations on the availability of legal remedies, including, without limitation, that a court may exercise discretion in the granting of equitable remedies such as specific performance and injunction.  Accordingly no opinion is expressed as to the availability of any equitable or discretionary remedies including, without limitation, the remedy of specific performance or injunctive relief;</w:t>
      </w:r>
    </w:p>
    <w:p w:rsidR="006908D7" w:rsidRDefault="003246D1">
      <w:pPr>
        <w:pStyle w:val="Bullets1L2"/>
      </w:pPr>
      <w:r>
        <w:t>the enforceability of the Debenture may be limited by general principles of law and equity relating to the conduct of the parties prior to execution of or in the administration or performance of the Debenture, including, without limitation; (i) undue influence, unconscionability, duress, misrepresentation and deceit; (ii) estoppel and waiver; (iii) laches; and (iv) reasonableness and good faith in the exercise of discretionary powers;</w:t>
      </w:r>
    </w:p>
    <w:p w:rsidR="006908D7" w:rsidRDefault="003246D1">
      <w:pPr>
        <w:pStyle w:val="Bullets1L2"/>
      </w:pPr>
      <w:r>
        <w:t>a court has statutory and inherent powers to grant relief from penalties or forfeiture, to stay proceedings before it and to stay executions of judgments;</w:t>
      </w:r>
    </w:p>
    <w:p w:rsidR="006908D7" w:rsidRDefault="003246D1">
      <w:pPr>
        <w:pStyle w:val="Bullets1L2"/>
      </w:pPr>
      <w:r>
        <w:t>the choice of law and choice of jurisdiction provisions in the Debenture may be found by a court not to be enforceable according to their respective terms;</w:t>
      </w:r>
    </w:p>
    <w:p w:rsidR="006908D7" w:rsidRDefault="003246D1">
      <w:pPr>
        <w:pStyle w:val="Bullets1L2"/>
      </w:pPr>
      <w:r>
        <w:t>the enforceability of the Debenture is subject to applicable laws regarding limitations of actions;</w:t>
      </w:r>
    </w:p>
    <w:p w:rsidR="006908D7" w:rsidRDefault="003246D1">
      <w:pPr>
        <w:pStyle w:val="Bullets1L2"/>
      </w:pPr>
      <w:r>
        <w:t>the enforceability of any provision of the Debenture which purports to sever any provision which is prohibited or unenforceable under applicable laws without affecting the enforceability or validity of the remainder of such documents, or which allows for the compensation for, or the set-off of, un-matured or un-liquidated claims, would be determined only in the discretion of the court;</w:t>
      </w:r>
    </w:p>
    <w:p w:rsidR="006908D7" w:rsidRDefault="003246D1">
      <w:pPr>
        <w:pStyle w:val="Bullets1L2"/>
      </w:pPr>
      <w:r>
        <w:t>the enforceability of any provisions of the Debenture which have the effect of exculpating a party from a liability or duty otherwise owed by it to another party may be limited under applicable law;</w:t>
      </w:r>
    </w:p>
    <w:p w:rsidR="006908D7" w:rsidRDefault="003246D1">
      <w:pPr>
        <w:pStyle w:val="Bullets1L2"/>
      </w:pPr>
      <w:r>
        <w:t>provisions of the Debenture granting an irrevocable power of attorney may not be enforceable;</w:t>
      </w:r>
    </w:p>
    <w:p w:rsidR="006908D7" w:rsidRDefault="003246D1">
      <w:pPr>
        <w:pStyle w:val="Bullets1L2"/>
      </w:pPr>
      <w:r>
        <w:t>provisions of the Debenture which provide that delay or failure by a party to exercise any right or remedy will not operate as a waiver thereof may not be enforceable;</w:t>
      </w:r>
    </w:p>
    <w:p w:rsidR="006908D7" w:rsidRDefault="003246D1">
      <w:pPr>
        <w:pStyle w:val="Bullets1L2"/>
      </w:pPr>
      <w:r>
        <w:t>we express no opinion as to the enforceability of any exclusive jurisdiction clauses contained in the Debenture;</w:t>
      </w:r>
    </w:p>
    <w:p w:rsidR="006908D7" w:rsidRDefault="003246D1">
      <w:pPr>
        <w:pStyle w:val="Bullets1L2"/>
      </w:pPr>
      <w:r>
        <w:lastRenderedPageBreak/>
        <w:t>we express no opinion as to the enforceability of any provision of the Debenture that states that amendments or waivers of or with respect to the Debenture that are not made in writing will not be effective;</w:t>
      </w:r>
    </w:p>
    <w:p w:rsidR="006908D7" w:rsidRDefault="003246D1">
      <w:pPr>
        <w:pStyle w:val="Bullets1L2"/>
      </w:pPr>
      <w:r>
        <w:t>the enforceability of the Debenture may be limited by the discretion which a court may reserve to itself to decline to hear an action if it is contrary to public policy for it to do so or if it is not the proper forum to hear such action;</w:t>
      </w:r>
    </w:p>
    <w:p w:rsidR="006908D7" w:rsidRDefault="003246D1">
      <w:pPr>
        <w:pStyle w:val="Bullets1L2"/>
      </w:pPr>
      <w:r>
        <w:t>no opinion is given that any particular remedy will be available upon any default or that each and every provision of the Debenture will be upheld or enforced in all circumstances by a court of competent jurisdiction;</w:t>
      </w:r>
    </w:p>
    <w:p w:rsidR="006908D7" w:rsidRDefault="003246D1">
      <w:pPr>
        <w:pStyle w:val="Bullets1L2"/>
      </w:pPr>
      <w:r>
        <w:t>provisions in the Debenture providing for recovery of fees and expenses may be restricted by a court to a reasonable amount and counsel fees are subject to taxation;</w:t>
      </w:r>
    </w:p>
    <w:p w:rsidR="006908D7" w:rsidRDefault="003246D1">
      <w:pPr>
        <w:pStyle w:val="Bullets1L2"/>
      </w:pPr>
      <w:r>
        <w:t>provisions of the Debenture that purport to establish evidentiary standards, such as provisions stating that certain calculations or certificates will be conclusive and binding, may not be enforceable or may be limited in their application;</w:t>
      </w:r>
    </w:p>
    <w:p w:rsidR="006908D7" w:rsidRDefault="003246D1">
      <w:pPr>
        <w:pStyle w:val="Bullets1L2"/>
      </w:pPr>
      <w:r>
        <w:t>a court may decline to accept the factual and legal determinations of a party notwithstanding that a contract or instrument provides that the determinations of the party shall be conclusive;</w:t>
      </w:r>
    </w:p>
    <w:p w:rsidR="006908D7" w:rsidRDefault="003246D1">
      <w:pPr>
        <w:pStyle w:val="Bullets1L2"/>
      </w:pPr>
      <w:r>
        <w:t>limitations under applicable legislation on the rate of interest which a prejudgment debt that is subsequently confirmed by judgment, or a judgment debt, bears may apply;</w:t>
      </w:r>
    </w:p>
    <w:p w:rsidR="006908D7" w:rsidRDefault="003246D1">
      <w:pPr>
        <w:pStyle w:val="Bullets1L2"/>
      </w:pPr>
      <w:r>
        <w:t xml:space="preserve">the </w:t>
      </w:r>
      <w:r>
        <w:rPr>
          <w:i/>
        </w:rPr>
        <w:t>Currency Act</w:t>
      </w:r>
      <w:r>
        <w:t xml:space="preserve"> (Canada) precludes a court in Canada from giving judgment in any currency other than Canadian currency;</w:t>
      </w:r>
    </w:p>
    <w:p w:rsidR="006908D7" w:rsidRDefault="003246D1">
      <w:pPr>
        <w:pStyle w:val="Bullets1L2"/>
      </w:pPr>
      <w:r>
        <w:t>we express no opinion as to the enforceability by or against a person who is not a party to the Debenture of any provision in the Debenture which purports to bind or affect or confer a benefit upon that person;</w:t>
      </w:r>
    </w:p>
    <w:p w:rsidR="006908D7" w:rsidRDefault="003246D1">
      <w:pPr>
        <w:pStyle w:val="Bullets1L2"/>
      </w:pPr>
      <w:r>
        <w:t xml:space="preserve">we express no opinion as to the AESO’s ability to immediately realize upon the Charge following a Generator default under Section 4.1 of the Debenture, as the AESO may be required by a court to give the Generator a reasonable time to make payment following a demand for payment prior to taking any action to enforce a right of payment or before exercising any other rights and remedies expressed to be exercisable in the Debenture; </w:t>
      </w:r>
    </w:p>
    <w:p w:rsidR="006908D7" w:rsidRDefault="003246D1">
      <w:pPr>
        <w:pStyle w:val="Bullets1L2"/>
      </w:pPr>
      <w:r>
        <w:t>we express no opinion as to the completeness or accuracy in a factual sense of the descriptions of properties, assets or rights in which the Debenture purports to grant a security interest and therefore no opinion is expressed as to the legality, validity, binding effect or enforceability of the Debenture or of any security interest created thereby where and to the extent that legality, validity, binding effect or enforceability depends in whole or in part on the accuracy of the description of, or nature of the property, assets or rights purporting to be charged;</w:t>
      </w:r>
    </w:p>
    <w:p w:rsidR="006908D7" w:rsidRDefault="003246D1">
      <w:pPr>
        <w:pStyle w:val="Bullets1L2"/>
        <w:rPr>
          <w:rFonts w:eastAsiaTheme="minorEastAsia"/>
        </w:rPr>
      </w:pPr>
      <w:r>
        <w:rPr>
          <w:rFonts w:eastAsiaTheme="minorEastAsia"/>
        </w:rPr>
        <w:t xml:space="preserve">we express no opinion as to the creation, perfection or validity of any security interest expressed to have been created by the Debenture with respect to any property or proceeds derived directly or indirectly therefrom which is not identifiable or traceable; </w:t>
      </w:r>
    </w:p>
    <w:p w:rsidR="006908D7" w:rsidRDefault="003246D1">
      <w:pPr>
        <w:pStyle w:val="Bullets1L2"/>
      </w:pPr>
      <w:r>
        <w:t xml:space="preserve">the Alberta PPSA imposes certain obligations on secured creditors and afford certain rights to debtors which cannot be varied by contract, and may also affect the enforcement of certain rights and remedies contained in the Debenture to the extent that those rights </w:t>
      </w:r>
      <w:r>
        <w:lastRenderedPageBreak/>
        <w:t>and remedies are inconsistent with or contrary to the Alberta PPSA; however, none of these provisions of the Alberta PPSA render the Debenture unenforceable as a whole.</w:t>
      </w:r>
    </w:p>
    <w:p w:rsidR="006908D7" w:rsidRDefault="003246D1">
      <w:pPr>
        <w:pStyle w:val="Bullets1L2"/>
      </w:pPr>
      <w:r>
        <w:t>we express no opinion as to whether a security interest may be created in:</w:t>
      </w:r>
    </w:p>
    <w:p w:rsidR="006908D7" w:rsidRDefault="003246D1">
      <w:pPr>
        <w:pStyle w:val="Bullets1L3"/>
      </w:pPr>
      <w:r>
        <w:t xml:space="preserve">property consisting of a receivable, licence, approval, privilege, franchise, permit, lease or agreement (collectively, </w:t>
      </w:r>
      <w:r>
        <w:rPr>
          <w:b/>
        </w:rPr>
        <w:t>Special Property</w:t>
      </w:r>
      <w:r>
        <w:t>) to the extent that the terms of the Special Property or any applicable law prohibit its assignment or require, as a condition of its assignability, a consent, approval or other authorization or registration which has not been made or given;</w:t>
      </w:r>
    </w:p>
    <w:p w:rsidR="006908D7" w:rsidRDefault="003246D1">
      <w:pPr>
        <w:pStyle w:val="Bullets1L3"/>
      </w:pPr>
      <w:r>
        <w:t>permits, quotas, licences, or other property which is neither personal property nor an interest in land;</w:t>
      </w:r>
    </w:p>
    <w:p w:rsidR="006908D7" w:rsidRDefault="003246D1">
      <w:pPr>
        <w:pStyle w:val="Bullets1L3"/>
      </w:pPr>
      <w:r>
        <w:t xml:space="preserve">federal Crown debts to the extent the </w:t>
      </w:r>
      <w:r>
        <w:rPr>
          <w:i/>
        </w:rPr>
        <w:t>Financial Administration Act</w:t>
      </w:r>
      <w:r>
        <w:t xml:space="preserve"> (Canada) has not been complied with; or</w:t>
      </w:r>
    </w:p>
    <w:p w:rsidR="006908D7" w:rsidRDefault="003246D1">
      <w:pPr>
        <w:pStyle w:val="Bullets1L3"/>
      </w:pPr>
      <w:r>
        <w:t xml:space="preserve">Alberta Crown debts to the extent the </w:t>
      </w:r>
      <w:r>
        <w:rPr>
          <w:i/>
        </w:rPr>
        <w:t>Financial Administration Act</w:t>
      </w:r>
      <w:r>
        <w:t xml:space="preserve"> (Alberta) has not been complied with;</w:t>
      </w:r>
    </w:p>
    <w:p w:rsidR="006908D7" w:rsidRDefault="003246D1">
      <w:pPr>
        <w:pStyle w:val="Bullets1L2"/>
      </w:pPr>
      <w:r>
        <w:t>to the extent that a security interest created by the Debenture attaches to investment property (as defined in the Alberta PPSA), the validity of such security interest is governed by: (i) the laws of the jurisdiction where the certificate is located in the case of certificated securities; (ii) the issuer’s jurisdiction in the case of uncertificated securities; (iii) the security intermediary’s jurisdiction in the case of a security entitlement or a securities account; and (iv) the futures intermediary’s jurisdiction in the case of a futures contract or a futures account, at the time such security interest attaches; and</w:t>
      </w:r>
    </w:p>
    <w:p w:rsidR="006908D7" w:rsidRDefault="003246D1">
      <w:pPr>
        <w:pStyle w:val="Bullets1L2"/>
      </w:pPr>
      <w:r>
        <w:t>to the extent the personal property charged by the Debenture includes patents, trademarks, copyrights, industrial design or other intellectual property, registration under the Alberta PPSA may not be effective to fully protect the security interests constituted hereby and further steps may be required or advisable under the appropriate federal statutes in order to do so; and we have not taken such steps.</w:t>
      </w:r>
    </w:p>
    <w:sectPr w:rsidR="006908D7">
      <w:headerReference w:type="default" r:id="rId9"/>
      <w:footerReference w:type="default" r:id="rId10"/>
      <w:headerReference w:type="first" r:id="rId11"/>
      <w:footerReference w:type="first" r:id="rId12"/>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D7" w:rsidRDefault="003246D1">
      <w:r>
        <w:separator/>
      </w:r>
    </w:p>
  </w:endnote>
  <w:endnote w:type="continuationSeparator" w:id="0">
    <w:p w:rsidR="006908D7" w:rsidRDefault="003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noProof/>
        <w:lang w:val="en-US" w:eastAsia="en-US"/>
      </w:rPr>
      <mc:AlternateContent>
        <mc:Choice Requires="wps">
          <w:drawing>
            <wp:anchor distT="360045" distB="0" distL="114300" distR="114300" simplePos="0" relativeHeight="251659264" behindDoc="0" locked="0" layoutInCell="1" allowOverlap="0" wp14:anchorId="21B97A9B" wp14:editId="63A15CC8">
              <wp:simplePos x="0" y="0"/>
              <wp:positionH relativeFrom="margin">
                <wp:posOffset>-635</wp:posOffset>
              </wp:positionH>
              <wp:positionV relativeFrom="paragraph">
                <wp:posOffset>0</wp:posOffset>
              </wp:positionV>
              <wp:extent cx="5943600" cy="612000"/>
              <wp:effectExtent l="0" t="0" r="0" b="17145"/>
              <wp:wrapNone/>
              <wp:docPr id="24" name="DocsID_P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6908D7">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34134616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uQIAALMFAAAOAAAAZHJzL2Uyb0RvYy54bWysVN9v0zAQfkfif7D8nuVH3ayJlk5b0yCk&#10;AZMGz8hNnMYisYPtNh2I/52zs7TdEBIC8mCd7bvP9919uavrQ9eiPVOaS5Hh8CLAiIlSVlxsM/zp&#10;Y+EtMNKGioq2UrAMPzKNr5evX10Nfcoi2ci2YgoBiNDp0Ge4MaZPfV+XDeuovpA9E3BZS9VRA1u1&#10;9StFB0DvWj8KgtgfpKp6JUumNZzm4yVeOvy6ZqX5UNeaGdRmGHIzblVu3djVX17RdKto3/DyKQ36&#10;F1l0lAt49AiVU0PRTvFfoDpeKqllbS5K2fmyrnnJHAdgEwYv2Dw0tGeOCxRH98cy6f8HW77f3yvE&#10;qwxHBCNBO+hRLkv9Nv98X5AZCWckDuPQ1mnodQruDz0EmMOtPEC/HWfd38nyi0ZCrhoqtuxGKTk0&#10;jFaQp4v0z0JHHG1BNsM7WcF7dGekAzrUqrNFhLIgQId+PR57xA4GlXA4T8gsDuCqhLs4BA24Jvo0&#10;naJ7pc0bJjtkjQwr0IBDp/s7bYAHuE4u9jEhC962TgeteHYAjuMJvA2h9s5m4dr6PQmS9WK9IB6J&#10;4rVHgjz3booV8eIivJzns3y1ysMf9t2QpA2vKibsM5PEQvJnLXwS+yiOo8i0bHll4WxKWm03q1ah&#10;PQWJF+6z3YLkz9z852m4a+DyglIYkeA2SrwiXlx6pCBzL7kMFl4QJrdJHJCE5MVzSndcsH+nhIYM&#10;J/NoPorpt9yg06dmn3GjaccNDJGWdxleHJ1oaiW4FpVrraG8He2zUtj0T6WAik2NdoK1Gh3Vag6b&#10;A6BYFW9k9QjSVRKUBSKEyQdGI9U3jAaYIhnWX3dUMYzatwLkb0fOZKjJ2EwGFSWEZthgNJorM46m&#10;Xa/4tgHk8QcT8gZ+kZo79Z6ygNTtBiaDI/E0xezoOd87r9OsXf4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D9ykJ65AgAA&#10;swUAAA4AAAAAAAAAAAAAAAAALgIAAGRycy9lMm9Eb2MueG1sUEsBAi0AFAAGAAgAAAAhALp+3C3c&#10;AAAABQEAAA8AAAAAAAAAAAAAAAAAEwUAAGRycy9kb3ducmV2LnhtbFBLBQYAAAAABAAEAPMAAAAc&#10;BgAAAAA=&#10;" o:allowoverlap="f" filled="f" stroked="f">
              <v:textbox inset="0,0,0,0">
                <w:txbxContent>
                  <w:p w:rsidR="006908D7" w:rsidRDefault="006908D7">
                    <w:pPr>
                      <w:pStyle w:val="DocsID"/>
                    </w:pPr>
                  </w:p>
                </w:txbxContent>
              </v:textbox>
              <w10:wrap anchorx="margin"/>
            </v:shape>
          </w:pict>
        </mc:Fallback>
      </mc:AlternateContent>
    </w:r>
    <w:r>
      <w:fldChar w:fldCharType="begin"/>
    </w:r>
    <w:r>
      <w:instrText xml:space="preserve"> PAGE  \* MERGEFORMAT </w:instrText>
    </w:r>
    <w:r>
      <w:fldChar w:fldCharType="separate"/>
    </w:r>
    <w:r w:rsidR="0030126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rStyle w:val="PageNumber"/>
        <w:noProof/>
        <w:lang w:val="en-US" w:eastAsia="en-US"/>
      </w:rPr>
      <mc:AlternateContent>
        <mc:Choice Requires="wps">
          <w:drawing>
            <wp:anchor distT="360045" distB="0" distL="114300" distR="114300" simplePos="0" relativeHeight="251661312" behindDoc="0" locked="0" layoutInCell="1" allowOverlap="0" wp14:anchorId="407141A4" wp14:editId="53F01A60">
              <wp:simplePos x="0" y="0"/>
              <wp:positionH relativeFrom="margin">
                <wp:posOffset>-635</wp:posOffset>
              </wp:positionH>
              <wp:positionV relativeFrom="paragraph">
                <wp:posOffset>0</wp:posOffset>
              </wp:positionV>
              <wp:extent cx="5943600" cy="612000"/>
              <wp:effectExtent l="0" t="0" r="0" b="17145"/>
              <wp:wrapNone/>
              <wp:docPr id="1" name="DocsID_F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7F7581">
                          <w:pPr>
                            <w:pStyle w:val="DocsID"/>
                          </w:pPr>
                          <w:fldSimple w:instr=" DOCPROPERTY &quot;DocsID&quot;  \* MERGEFORMAT ">
                            <w:r w:rsidR="00FF7EFD">
                              <w:t>CAN_DMS: \124011258\2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34134616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HfugIAALkFAAAOAAAAZHJzL2Uyb0RvYy54bWysVNuOmzAQfa/Uf7D8zgKJwwa0ZLUbQrXS&#10;9iJt+1w5YIJVsKnthGyr/nvHJuSyVaWqLQ9obM8cz5k5npvbfdugHVOaS5Hi8CrAiIlCllxsUvzp&#10;Y+7NMdKGipI2UrAUPzONbxevX930XcImspZNyRQCEKGTvktxbUyX+L4uatZSfSU7JuCwkqqlBpZq&#10;45eK9oDeNv4kCCK/l6rslCyY1rCbDYd44fCrihXmfVVpZlCTYsjNuL9y/7X9+4sbmmwU7WpeHNKg&#10;f5FFS7mAS49QGTUUbRX/BarlhZJaVuaqkK0vq4oXzHEANmHwgs1TTTvmuEBxdHcsk/5/sMW73QeF&#10;eAm9w0jQFlqUyUI/ZJ/znExJOCVRGIW2TH2nE/B+6sDf7O/l3oZYyrp7lMUXjYRc1lRs2J1Ssq8Z&#10;LSFNF+mfhQ442oKs+7eyhPvo1kgHtK9UawGhKgjQoV3PxxaxvUEFbM5iMo0COCrgLApBAq6HPk3G&#10;6E5p84bJFlkjxQok4NDp7lEb4AGuo4u9TMicN42TQSMuNsBx2IG7IdSe2SxcV7/HQbyar+bEI5No&#10;5ZEgy7y7fEm8KA+vZ9k0Wy6z8Ie9NyRJzcuSCXvNqLCQ/FkHD1oftHHUmJYNLy2cTUmrzXrZKLSj&#10;oPDcfbZbkPyZm3+ZhjsGLi8ohRMS3E9iL4/m1x7JycyLr4O5F4TxfRwFJCZZfknpkQv275RQn+J4&#10;NpkNYvotN+j0qdln3GjScgMzpOFtiudHJ5pYCa5E6VprKG8G+6wUNv1TKaBiY6OdYK1GB7Wa/Xp/&#10;eCIAZsW8luUzKFhJEBhoEeYfGLVU3zDqYZakWH/dUsUwah4EvAI7eEZDjcZ6NKgoIDTFBqPBXJph&#10;QG07xTc1IA/vTMg7eCkVdyI+ZQEM7ALmg+NymGV2AJ2vnddp4i5+Ag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6ZqHfugIA&#10;ALkFAAAOAAAAAAAAAAAAAAAAAC4CAABkcnMvZTJvRG9jLnhtbFBLAQItABQABgAIAAAAIQC6ftwt&#10;3AAAAAUBAAAPAAAAAAAAAAAAAAAAABQFAABkcnMvZG93bnJldi54bWxQSwUGAAAAAAQABADzAAAA&#10;HQYAAAAA&#10;" o:allowoverlap="f" filled="f" stroked="f">
              <v:textbox inset="0,0,0,0">
                <w:txbxContent>
                  <w:p w:rsidR="006908D7" w:rsidRDefault="00613CDF">
                    <w:pPr>
                      <w:pStyle w:val="DocsID"/>
                    </w:pPr>
                    <w:fldSimple w:instr=" DOCPROPERTY &quot;DocsID&quot;  \* MERGEFORMAT ">
                      <w:r w:rsidR="00FF7EFD">
                        <w:t>CAN_DMS: \124011258\2</w:t>
                      </w:r>
                    </w:fldSimple>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30126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D7" w:rsidRDefault="003246D1">
      <w:r>
        <w:separator/>
      </w:r>
    </w:p>
  </w:footnote>
  <w:footnote w:type="continuationSeparator" w:id="0">
    <w:p w:rsidR="006908D7" w:rsidRDefault="00324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6908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C87582"/>
    <w:lvl w:ilvl="0">
      <w:start w:val="1"/>
      <w:numFmt w:val="decimal"/>
      <w:lvlText w:val="%1."/>
      <w:lvlJc w:val="left"/>
      <w:pPr>
        <w:tabs>
          <w:tab w:val="num" w:pos="1800"/>
        </w:tabs>
        <w:ind w:left="1800" w:hanging="360"/>
      </w:pPr>
    </w:lvl>
  </w:abstractNum>
  <w:abstractNum w:abstractNumId="1">
    <w:nsid w:val="00000007"/>
    <w:multiLevelType w:val="multilevel"/>
    <w:tmpl w:val="8C7ACD30"/>
    <w:lvl w:ilvl="0">
      <w:start w:val="1"/>
      <w:numFmt w:val="decimal"/>
      <w:lvlRestart w:val="0"/>
      <w:pStyle w:val="Legal3L1"/>
      <w:lvlText w:val="%1"/>
      <w:lvlJc w:val="left"/>
      <w:pPr>
        <w:tabs>
          <w:tab w:val="num" w:pos="720"/>
        </w:tabs>
        <w:ind w:left="720" w:hanging="720"/>
      </w:pPr>
      <w:rPr>
        <w:rFonts w:ascii="Arial" w:hAnsi="Arial" w:cs="Arial"/>
        <w:sz w:val="22"/>
      </w:rPr>
    </w:lvl>
    <w:lvl w:ilvl="1">
      <w:start w:val="1"/>
      <w:numFmt w:val="decimal"/>
      <w:pStyle w:val="Legal3L2"/>
      <w:isLgl/>
      <w:lvlText w:val="%1.%2"/>
      <w:lvlJc w:val="left"/>
      <w:pPr>
        <w:tabs>
          <w:tab w:val="num" w:pos="1440"/>
        </w:tabs>
        <w:ind w:left="1440" w:hanging="720"/>
      </w:pPr>
      <w:rPr>
        <w:rFonts w:ascii="Arial" w:hAnsi="Arial" w:cs="Arial"/>
        <w:sz w:val="22"/>
      </w:rPr>
    </w:lvl>
    <w:lvl w:ilvl="2">
      <w:start w:val="1"/>
      <w:numFmt w:val="decimal"/>
      <w:pStyle w:val="Legal3L3"/>
      <w:isLgl/>
      <w:lvlText w:val="%1.%2.%3"/>
      <w:lvlJc w:val="left"/>
      <w:pPr>
        <w:tabs>
          <w:tab w:val="num" w:pos="2520"/>
        </w:tabs>
        <w:ind w:left="2520" w:hanging="1080"/>
      </w:pPr>
      <w:rPr>
        <w:rFonts w:ascii="Arial" w:hAnsi="Arial" w:cs="Arial"/>
        <w:sz w:val="22"/>
      </w:rPr>
    </w:lvl>
    <w:lvl w:ilvl="3">
      <w:start w:val="1"/>
      <w:numFmt w:val="decimal"/>
      <w:pStyle w:val="Legal3L4"/>
      <w:isLgl/>
      <w:lvlText w:val="%1.%2.%3.%4"/>
      <w:lvlJc w:val="left"/>
      <w:pPr>
        <w:tabs>
          <w:tab w:val="num" w:pos="3600"/>
        </w:tabs>
        <w:ind w:left="3600" w:hanging="1080"/>
      </w:pPr>
      <w:rPr>
        <w:rFonts w:ascii="Arial" w:hAnsi="Arial" w:cs="Arial"/>
        <w:sz w:val="22"/>
      </w:rPr>
    </w:lvl>
    <w:lvl w:ilvl="4">
      <w:start w:val="1"/>
      <w:numFmt w:val="lowerLetter"/>
      <w:pStyle w:val="Legal3L5"/>
      <w:lvlText w:val="%5)"/>
      <w:lvlJc w:val="left"/>
      <w:pPr>
        <w:tabs>
          <w:tab w:val="num" w:pos="4320"/>
        </w:tabs>
        <w:ind w:left="4320" w:hanging="720"/>
      </w:pPr>
      <w:rPr>
        <w:rFonts w:ascii="Arial" w:hAnsi="Arial" w:cs="Arial"/>
        <w:sz w:val="22"/>
      </w:rPr>
    </w:lvl>
    <w:lvl w:ilvl="5">
      <w:start w:val="1"/>
      <w:numFmt w:val="lowerRoman"/>
      <w:pStyle w:val="Legal3L6"/>
      <w:lvlText w:val="%6)"/>
      <w:lvlJc w:val="left"/>
      <w:pPr>
        <w:tabs>
          <w:tab w:val="num" w:pos="5040"/>
        </w:tabs>
        <w:ind w:left="5040" w:hanging="720"/>
      </w:pPr>
      <w:rPr>
        <w:rFonts w:ascii="Arial" w:hAnsi="Arial" w:cs="Arial"/>
        <w:sz w:val="22"/>
      </w:rPr>
    </w:lvl>
    <w:lvl w:ilvl="6">
      <w:start w:val="1"/>
      <w:numFmt w:val="decimal"/>
      <w:pStyle w:val="Legal3L7"/>
      <w:lvlText w:val="%7)"/>
      <w:lvlJc w:val="left"/>
      <w:pPr>
        <w:tabs>
          <w:tab w:val="num" w:pos="5760"/>
        </w:tabs>
        <w:ind w:left="5760" w:hanging="720"/>
      </w:pPr>
      <w:rPr>
        <w:rFonts w:ascii="Arial" w:hAnsi="Arial" w:cs="Arial"/>
        <w:sz w:val="22"/>
      </w:rPr>
    </w:lvl>
    <w:lvl w:ilvl="7">
      <w:start w:val="1"/>
      <w:numFmt w:val="upperLetter"/>
      <w:pStyle w:val="Legal3L8"/>
      <w:lvlText w:val="%8)"/>
      <w:lvlJc w:val="left"/>
      <w:pPr>
        <w:tabs>
          <w:tab w:val="num" w:pos="6480"/>
        </w:tabs>
        <w:ind w:left="6480" w:hanging="720"/>
      </w:pPr>
      <w:rPr>
        <w:rFonts w:ascii="Arial" w:hAnsi="Arial" w:cs="Arial"/>
        <w:sz w:val="22"/>
      </w:rPr>
    </w:lvl>
    <w:lvl w:ilvl="8">
      <w:start w:val="1"/>
      <w:numFmt w:val="upperRoman"/>
      <w:pStyle w:val="Legal3L9"/>
      <w:lvlText w:val="%9)"/>
      <w:lvlJc w:val="left"/>
      <w:pPr>
        <w:tabs>
          <w:tab w:val="num" w:pos="7200"/>
        </w:tabs>
        <w:ind w:left="7200" w:hanging="720"/>
      </w:pPr>
      <w:rPr>
        <w:rFonts w:ascii="Arial" w:hAnsi="Arial" w:cs="Arial"/>
        <w:sz w:val="22"/>
      </w:rPr>
    </w:lvl>
  </w:abstractNum>
  <w:abstractNum w:abstractNumId="2">
    <w:nsid w:val="0ADB2597"/>
    <w:multiLevelType w:val="hybridMultilevel"/>
    <w:tmpl w:val="766EFE6A"/>
    <w:lvl w:ilvl="0" w:tplc="3904B3EA">
      <w:start w:val="1"/>
      <w:numFmt w:val="upperLetter"/>
      <w:lvlText w:val="%1."/>
      <w:lvlJc w:val="left"/>
      <w:pPr>
        <w:ind w:left="720" w:hanging="360"/>
      </w:pPr>
      <w:rPr>
        <w:rFonts w:hint="default"/>
        <w:b/>
        <w:i w:val="0"/>
        <w:caps w:val="0"/>
        <w:strike w:val="0"/>
        <w:dstrike w:val="0"/>
        <w:vanish w:val="0"/>
        <w:vertAlign w:val="baseline"/>
      </w:rPr>
    </w:lvl>
    <w:lvl w:ilvl="1" w:tplc="562A1BA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B9330D"/>
    <w:multiLevelType w:val="multilevel"/>
    <w:tmpl w:val="6F52F554"/>
    <w:lvl w:ilvl="0">
      <w:start w:val="1"/>
      <w:numFmt w:val="bullet"/>
      <w:lvlRestart w:val="0"/>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lowerRoman"/>
      <w:lvlText w:val="%3."/>
      <w:lvlJc w:val="right"/>
      <w:pPr>
        <w:tabs>
          <w:tab w:val="num" w:pos="2160"/>
        </w:tabs>
        <w:ind w:left="2160" w:hanging="720"/>
      </w:pPr>
      <w:rPr>
        <w:rFonts w:hint="default"/>
        <w:b w:val="0"/>
        <w:i w:val="0"/>
        <w:caps w:val="0"/>
        <w:smallCaps w:val="0"/>
        <w:color w:val="auto"/>
        <w:sz w:val="20"/>
        <w:u w:val="none"/>
      </w:rPr>
    </w:lvl>
    <w:lvl w:ilvl="3">
      <w:start w:val="1"/>
      <w:numFmt w:val="bullet"/>
      <w:lvlRestart w:val="0"/>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4">
    <w:nsid w:val="1AF25A1E"/>
    <w:multiLevelType w:val="multilevel"/>
    <w:tmpl w:val="B70823D2"/>
    <w:styleLink w:val="Legal3List"/>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abstractNum>
  <w:abstractNum w:abstractNumId="5">
    <w:nsid w:val="1E42111A"/>
    <w:multiLevelType w:val="multilevel"/>
    <w:tmpl w:val="F8625F7A"/>
    <w:name w:val="Unknown E-42898582E-X"/>
    <w:lvl w:ilvl="0">
      <w:start w:val="1"/>
      <w:numFmt w:val="upperRoman"/>
      <w:lvlText w:val="%1."/>
      <w:lvlJc w:val="left"/>
      <w:pPr>
        <w:tabs>
          <w:tab w:val="num" w:pos="720"/>
        </w:tabs>
        <w:ind w:left="720" w:hanging="720"/>
      </w:pPr>
      <w:rPr>
        <w:b/>
        <w:i w:val="0"/>
        <w:caps w:val="0"/>
        <w:strike w:val="0"/>
        <w:dstrike w:val="0"/>
        <w:vanish w:val="0"/>
        <w:u w:val="none"/>
        <w:vertAlign w:val="baseline"/>
      </w:rPr>
    </w:lvl>
    <w:lvl w:ilvl="1">
      <w:start w:val="1"/>
      <w:numFmt w:val="upperLetter"/>
      <w:lvlText w:val="%2."/>
      <w:lvlJc w:val="left"/>
      <w:pPr>
        <w:tabs>
          <w:tab w:val="num" w:pos="1440"/>
        </w:tabs>
        <w:ind w:left="1440" w:hanging="720"/>
      </w:pPr>
      <w:rPr>
        <w:b/>
        <w:i w:val="0"/>
        <w:caps w:val="0"/>
        <w:strike w:val="0"/>
        <w:dstrike w:val="0"/>
        <w:vanish w:val="0"/>
        <w:u w:val="none"/>
        <w:vertAlign w:val="baseline"/>
      </w:rPr>
    </w:lvl>
    <w:lvl w:ilvl="2">
      <w:start w:val="1"/>
      <w:numFmt w:val="lowerRoman"/>
      <w:lvlText w:val="(%3)"/>
      <w:lvlJc w:val="left"/>
      <w:pPr>
        <w:tabs>
          <w:tab w:val="num" w:pos="2160"/>
        </w:tabs>
        <w:ind w:left="2160" w:hanging="720"/>
      </w:pPr>
      <w:rPr>
        <w:b w:val="0"/>
        <w:i w:val="0"/>
        <w:caps w:val="0"/>
        <w:strike w:val="0"/>
        <w:dstrike w:val="0"/>
        <w:vanish w:val="0"/>
        <w:u w:val="none"/>
        <w:vertAlign w:val="baseline"/>
      </w:rPr>
    </w:lvl>
    <w:lvl w:ilvl="3">
      <w:start w:val="1"/>
      <w:numFmt w:val="lowerLetter"/>
      <w:lvlText w:val="%4."/>
      <w:lvlJc w:val="left"/>
      <w:pPr>
        <w:tabs>
          <w:tab w:val="num" w:pos="2880"/>
        </w:tabs>
        <w:ind w:left="2880" w:hanging="720"/>
      </w:pPr>
      <w:rPr>
        <w:b w:val="0"/>
        <w:i w:val="0"/>
        <w:caps w:val="0"/>
        <w:strike w:val="0"/>
        <w:dstrike w:val="0"/>
        <w:vanish w:val="0"/>
        <w:u w:val="none"/>
        <w:vertAlign w:val="baseline"/>
      </w:rPr>
    </w:lvl>
    <w:lvl w:ilvl="4">
      <w:start w:val="1"/>
      <w:numFmt w:val="decimal"/>
      <w:lvlText w:val="(%5)"/>
      <w:lvlJc w:val="left"/>
      <w:pPr>
        <w:tabs>
          <w:tab w:val="num" w:pos="3600"/>
        </w:tabs>
        <w:ind w:left="3600" w:hanging="720"/>
      </w:pPr>
      <w:rPr>
        <w:caps w:val="0"/>
        <w:strike w:val="0"/>
        <w:dstrike w:val="0"/>
        <w:vanish w:val="0"/>
        <w:u w:val="none"/>
        <w:vertAlign w:val="baseline"/>
      </w:rPr>
    </w:lvl>
    <w:lvl w:ilvl="5">
      <w:start w:val="1"/>
      <w:numFmt w:val="lowerLetter"/>
      <w:lvlText w:val="(%6)"/>
      <w:lvlJc w:val="left"/>
      <w:pPr>
        <w:tabs>
          <w:tab w:val="num" w:pos="4320"/>
        </w:tabs>
        <w:ind w:left="4320" w:hanging="720"/>
      </w:pPr>
      <w:rPr>
        <w:b w:val="0"/>
        <w:i w:val="0"/>
        <w:caps w:val="0"/>
        <w:strike w:val="0"/>
        <w:dstrike w:val="0"/>
        <w:vanish w:val="0"/>
        <w:u w:val="none"/>
        <w:vertAlign w:val="baseline"/>
      </w:rPr>
    </w:lvl>
    <w:lvl w:ilvl="6">
      <w:start w:val="1"/>
      <w:numFmt w:val="lowerRoman"/>
      <w:lvlText w:val="(%7)"/>
      <w:lvlJc w:val="left"/>
      <w:pPr>
        <w:tabs>
          <w:tab w:val="num" w:pos="5040"/>
        </w:tabs>
        <w:ind w:left="5040" w:hanging="720"/>
      </w:pPr>
      <w:rPr>
        <w:b w:val="0"/>
        <w:i w:val="0"/>
        <w:caps w:val="0"/>
        <w:strike w:val="0"/>
        <w:dstrike w:val="0"/>
        <w:vanish w:val="0"/>
        <w:u w:val="none"/>
        <w:vertAlign w:val="baseline"/>
      </w:rPr>
    </w:lvl>
    <w:lvl w:ilvl="7">
      <w:start w:val="1"/>
      <w:numFmt w:val="lowerLetter"/>
      <w:lvlText w:val="%8)"/>
      <w:lvlJc w:val="left"/>
      <w:pPr>
        <w:tabs>
          <w:tab w:val="num" w:pos="5760"/>
        </w:tabs>
        <w:ind w:left="5760" w:hanging="720"/>
      </w:pPr>
      <w:rPr>
        <w:b w:val="0"/>
        <w:i w:val="0"/>
        <w:caps w:val="0"/>
        <w:strike w:val="0"/>
        <w:dstrike w:val="0"/>
        <w:vanish w:val="0"/>
        <w:u w:val="none"/>
        <w:vertAlign w:val="baseline"/>
      </w:rPr>
    </w:lvl>
    <w:lvl w:ilvl="8">
      <w:start w:val="1"/>
      <w:numFmt w:val="lowerRoman"/>
      <w:lvlText w:val="%9)"/>
      <w:lvlJc w:val="left"/>
      <w:pPr>
        <w:tabs>
          <w:tab w:val="num" w:pos="6480"/>
        </w:tabs>
        <w:ind w:left="6480" w:hanging="720"/>
      </w:pPr>
      <w:rPr>
        <w:b w:val="0"/>
        <w:i w:val="0"/>
        <w:caps w:val="0"/>
        <w:strike w:val="0"/>
        <w:dstrike w:val="0"/>
        <w:vanish w:val="0"/>
        <w:u w:val="none"/>
        <w:vertAlign w:val="baseline"/>
      </w:rPr>
    </w:lvl>
  </w:abstractNum>
  <w:abstractNum w:abstractNumId="6">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B132958"/>
    <w:multiLevelType w:val="multilevel"/>
    <w:tmpl w:val="BEA42DE0"/>
    <w:name w:val="NR Simple-43273600A-X"/>
    <w:lvl w:ilvl="0">
      <w:start w:val="1"/>
      <w:numFmt w:val="upperLetter"/>
      <w:pStyle w:val="NRSimpleL1"/>
      <w:lvlText w:val="%1."/>
      <w:lvlJc w:val="left"/>
      <w:pPr>
        <w:tabs>
          <w:tab w:val="num" w:pos="720"/>
        </w:tabs>
        <w:ind w:left="720" w:hanging="720"/>
      </w:pPr>
      <w:rPr>
        <w:b/>
        <w:i w:val="0"/>
        <w:caps w:val="0"/>
        <w:u w:val="none"/>
      </w:rPr>
    </w:lvl>
    <w:lvl w:ilvl="1">
      <w:start w:val="1"/>
      <w:numFmt w:val="decimal"/>
      <w:pStyle w:val="NRSimpleL2"/>
      <w:lvlText w:val="%2."/>
      <w:lvlJc w:val="left"/>
      <w:pPr>
        <w:tabs>
          <w:tab w:val="num" w:pos="720"/>
        </w:tabs>
        <w:ind w:left="720" w:hanging="720"/>
      </w:pPr>
      <w:rPr>
        <w:b w:val="0"/>
        <w:i w:val="0"/>
        <w:caps w:val="0"/>
        <w:u w:val="none"/>
      </w:rPr>
    </w:lvl>
    <w:lvl w:ilvl="2">
      <w:start w:val="1"/>
      <w:numFmt w:val="lowerLetter"/>
      <w:pStyle w:val="NRSimpleL3"/>
      <w:lvlText w:val="(%3)"/>
      <w:lvlJc w:val="left"/>
      <w:pPr>
        <w:tabs>
          <w:tab w:val="num" w:pos="1440"/>
        </w:tabs>
        <w:ind w:left="1440" w:hanging="720"/>
      </w:pPr>
      <w:rPr>
        <w:b w:val="0"/>
        <w:i w:val="0"/>
        <w:caps w:val="0"/>
        <w:u w:val="none"/>
      </w:rPr>
    </w:lvl>
    <w:lvl w:ilvl="3">
      <w:start w:val="1"/>
      <w:numFmt w:val="lowerRoman"/>
      <w:pStyle w:val="NRSimpleL4"/>
      <w:lvlText w:val="(%4)"/>
      <w:lvlJc w:val="left"/>
      <w:pPr>
        <w:tabs>
          <w:tab w:val="num" w:pos="2160"/>
        </w:tabs>
        <w:ind w:left="2160" w:hanging="720"/>
      </w:pPr>
      <w:rPr>
        <w:b w:val="0"/>
        <w:i w:val="0"/>
        <w:caps w:val="0"/>
        <w:u w:val="none"/>
      </w:rPr>
    </w:lvl>
    <w:lvl w:ilvl="4">
      <w:start w:val="1"/>
      <w:numFmt w:val="decimal"/>
      <w:pStyle w:val="NRSimpleL5"/>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8">
    <w:nsid w:val="2E897A8A"/>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2BF5259"/>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C935BE7"/>
    <w:multiLevelType w:val="hybridMultilevel"/>
    <w:tmpl w:val="02FCFA3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5A566C9"/>
    <w:multiLevelType w:val="multilevel"/>
    <w:tmpl w:val="24B233AA"/>
    <w:name w:val="Legal3.-414044876-F"/>
    <w:lvl w:ilvl="0">
      <w:start w:val="1"/>
      <w:numFmt w:val="upperLetter"/>
      <w:lvlRestart w:val="0"/>
      <w:pStyle w:val="Appendix1L1"/>
      <w:suff w:val="nothing"/>
      <w:lvlText w:val="Appendix %1"/>
      <w:lvlJc w:val="left"/>
      <w:pPr>
        <w:ind w:left="0" w:firstLine="0"/>
      </w:pPr>
      <w:rPr>
        <w:rFonts w:ascii="Arial" w:hAnsi="Arial" w:cs="Arial" w:hint="default"/>
        <w:b/>
        <w:i w:val="0"/>
        <w:caps/>
        <w:smallCaps w:val="0"/>
        <w:color w:val="auto"/>
        <w:sz w:val="24"/>
        <w:szCs w:val="24"/>
        <w:u w:val="none"/>
      </w:rPr>
    </w:lvl>
    <w:lvl w:ilvl="1">
      <w:start w:val="1"/>
      <w:numFmt w:val="decimal"/>
      <w:pStyle w:val="Appendix1L2"/>
      <w:lvlText w:val="%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2">
      <w:start w:val="1"/>
      <w:numFmt w:val="lowerLetter"/>
      <w:pStyle w:val="Appendix1L3"/>
      <w:lvlText w:val="(%3)"/>
      <w:lvlJc w:val="left"/>
      <w:pPr>
        <w:tabs>
          <w:tab w:val="num" w:pos="1440"/>
        </w:tabs>
        <w:ind w:left="1440" w:hanging="720"/>
      </w:pPr>
      <w:rPr>
        <w:rFonts w:ascii="Arial" w:hAnsi="Arial" w:cs="Arial" w:hint="default"/>
        <w:b w:val="0"/>
        <w:i w:val="0"/>
        <w:caps w:val="0"/>
        <w:smallCaps w:val="0"/>
        <w:color w:val="auto"/>
        <w:sz w:val="20"/>
        <w:u w:val="none"/>
      </w:rPr>
    </w:lvl>
    <w:lvl w:ilvl="3">
      <w:start w:val="1"/>
      <w:numFmt w:val="lowerRoman"/>
      <w:pStyle w:val="Appendix1L4"/>
      <w:lvlText w:val="(%4)"/>
      <w:lvlJc w:val="left"/>
      <w:pPr>
        <w:tabs>
          <w:tab w:val="num" w:pos="2160"/>
        </w:tabs>
        <w:ind w:left="2160" w:hanging="720"/>
      </w:pPr>
      <w:rPr>
        <w:rFonts w:ascii="Arial" w:hAnsi="Arial" w:cs="Arial" w:hint="default"/>
        <w:b w:val="0"/>
        <w:i w:val="0"/>
        <w:caps w:val="0"/>
        <w:smallCaps w:val="0"/>
        <w:color w:val="auto"/>
        <w:sz w:val="20"/>
        <w:u w:val="none"/>
      </w:rPr>
    </w:lvl>
    <w:lvl w:ilvl="4">
      <w:start w:val="1"/>
      <w:numFmt w:val="upperLetter"/>
      <w:pStyle w:val="Appendix1L5"/>
      <w:lvlText w:val="(%5)"/>
      <w:lvlJc w:val="left"/>
      <w:pPr>
        <w:tabs>
          <w:tab w:val="num" w:pos="2880"/>
        </w:tabs>
        <w:ind w:left="2880" w:hanging="720"/>
      </w:pPr>
      <w:rPr>
        <w:rFonts w:ascii="Arial" w:hAnsi="Arial" w:cs="Arial" w:hint="default"/>
        <w:b w:val="0"/>
        <w:i w:val="0"/>
        <w:caps w:val="0"/>
        <w:smallCaps w:val="0"/>
        <w:color w:val="auto"/>
        <w:sz w:val="20"/>
        <w:u w:val="none"/>
      </w:rPr>
    </w:lvl>
    <w:lvl w:ilvl="5">
      <w:start w:val="1"/>
      <w:numFmt w:val="upperRoman"/>
      <w:pStyle w:val="Appendix1L6"/>
      <w:lvlText w:val="(%6)"/>
      <w:lvlJc w:val="left"/>
      <w:pPr>
        <w:tabs>
          <w:tab w:val="num" w:pos="3600"/>
        </w:tabs>
        <w:ind w:left="3600" w:hanging="720"/>
      </w:pPr>
      <w:rPr>
        <w:rFonts w:ascii="Arial" w:hAnsi="Arial" w:cs="Arial" w:hint="default"/>
        <w:b w:val="0"/>
        <w:i w:val="0"/>
        <w:caps w:val="0"/>
        <w:smallCaps w:val="0"/>
        <w:color w:val="auto"/>
        <w:sz w:val="20"/>
        <w:u w:val="none"/>
      </w:rPr>
    </w:lvl>
    <w:lvl w:ilvl="6">
      <w:start w:val="1"/>
      <w:numFmt w:val="decimal"/>
      <w:pStyle w:val="Appendix1L7"/>
      <w:lvlText w:val="(%7)"/>
      <w:lvlJc w:val="left"/>
      <w:pPr>
        <w:tabs>
          <w:tab w:val="num" w:pos="4320"/>
        </w:tabs>
        <w:ind w:left="4320" w:hanging="720"/>
      </w:pPr>
      <w:rPr>
        <w:rFonts w:ascii="Arial" w:hAnsi="Arial" w:cs="Arial" w:hint="default"/>
        <w:b w:val="0"/>
        <w:i w:val="0"/>
        <w:caps w:val="0"/>
        <w:smallCaps w:val="0"/>
        <w:color w:val="auto"/>
        <w:sz w:val="20"/>
        <w:u w:val="none"/>
      </w:rPr>
    </w:lvl>
    <w:lvl w:ilvl="7">
      <w:start w:val="1"/>
      <w:numFmt w:val="lowerLetter"/>
      <w:pStyle w:val="Appendix1L8"/>
      <w:lvlText w:val="%8."/>
      <w:lvlJc w:val="left"/>
      <w:pPr>
        <w:tabs>
          <w:tab w:val="num" w:pos="5040"/>
        </w:tabs>
        <w:ind w:left="5040" w:hanging="720"/>
      </w:pPr>
      <w:rPr>
        <w:rFonts w:ascii="Arial" w:hAnsi="Arial" w:cs="Arial" w:hint="default"/>
        <w:b w:val="0"/>
        <w:i w:val="0"/>
        <w:caps w:val="0"/>
        <w:smallCaps w:val="0"/>
        <w:color w:val="auto"/>
        <w:sz w:val="20"/>
        <w:u w:val="none"/>
      </w:rPr>
    </w:lvl>
    <w:lvl w:ilvl="8">
      <w:start w:val="1"/>
      <w:numFmt w:val="lowerRoman"/>
      <w:pStyle w:val="Appendix1L9"/>
      <w:lvlText w:val="%9."/>
      <w:lvlJc w:val="left"/>
      <w:pPr>
        <w:tabs>
          <w:tab w:val="num" w:pos="5760"/>
        </w:tabs>
        <w:ind w:left="5760" w:hanging="720"/>
      </w:pPr>
      <w:rPr>
        <w:rFonts w:ascii="Arial" w:hAnsi="Arial" w:cs="Arial" w:hint="default"/>
        <w:b w:val="0"/>
        <w:i w:val="0"/>
        <w:caps w:val="0"/>
        <w:smallCaps w:val="0"/>
        <w:color w:val="auto"/>
        <w:sz w:val="20"/>
        <w:u w:val="none"/>
      </w:rPr>
    </w:lvl>
  </w:abstractNum>
  <w:abstractNum w:abstractNumId="12">
    <w:nsid w:val="5CB139C4"/>
    <w:multiLevelType w:val="hybridMultilevel"/>
    <w:tmpl w:val="8BCA494E"/>
    <w:lvl w:ilvl="0" w:tplc="3904B3EA">
      <w:start w:val="1"/>
      <w:numFmt w:val="upperLetter"/>
      <w:lvlText w:val="%1."/>
      <w:lvlJc w:val="left"/>
      <w:pPr>
        <w:ind w:left="117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0961314"/>
    <w:multiLevelType w:val="multilevel"/>
    <w:tmpl w:val="B1EEAADE"/>
    <w:styleLink w:val="Bullets1List"/>
    <w:lvl w:ilvl="0">
      <w:start w:val="1"/>
      <w:numFmt w:val="bullet"/>
      <w:lvlRestart w:val="0"/>
      <w:pStyle w:val="Bullets1L1"/>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pStyle w:val="Bullets1L2"/>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bullet"/>
      <w:lvlRestart w:val="0"/>
      <w:pStyle w:val="Bullets1L3"/>
      <w:lvlText w:val="·"/>
      <w:lvlJc w:val="left"/>
      <w:pPr>
        <w:tabs>
          <w:tab w:val="num" w:pos="2160"/>
        </w:tabs>
        <w:ind w:left="2160" w:hanging="720"/>
      </w:pPr>
      <w:rPr>
        <w:rFonts w:ascii="Symbol" w:hAnsi="Symbol" w:hint="default"/>
        <w:b w:val="0"/>
        <w:i w:val="0"/>
        <w:caps w:val="0"/>
        <w:smallCaps w:val="0"/>
        <w:color w:val="auto"/>
        <w:sz w:val="20"/>
        <w:u w:val="none"/>
      </w:rPr>
    </w:lvl>
    <w:lvl w:ilvl="3">
      <w:start w:val="1"/>
      <w:numFmt w:val="bullet"/>
      <w:lvlRestart w:val="0"/>
      <w:pStyle w:val="Bullets1L4"/>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pStyle w:val="Bullets1L5"/>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pStyle w:val="Bullets1L6"/>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pStyle w:val="Bullets1L7"/>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pStyle w:val="Bullets1L8"/>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pStyle w:val="Bullets1L9"/>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14">
    <w:nsid w:val="699D69DE"/>
    <w:multiLevelType w:val="hybridMultilevel"/>
    <w:tmpl w:val="58B0F30E"/>
    <w:lvl w:ilvl="0" w:tplc="562A1BA8">
      <w:start w:val="1"/>
      <w:numFmt w:val="lowerLetter"/>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53D7BCD"/>
    <w:multiLevelType w:val="hybridMultilevel"/>
    <w:tmpl w:val="7F987A44"/>
    <w:lvl w:ilvl="0" w:tplc="562A1BA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F2337BB"/>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5"/>
  </w:num>
  <w:num w:numId="5">
    <w:abstractNumId w:val="12"/>
  </w:num>
  <w:num w:numId="6">
    <w:abstractNumId w:val="10"/>
  </w:num>
  <w:num w:numId="7">
    <w:abstractNumId w:val="17"/>
  </w:num>
  <w:num w:numId="8">
    <w:abstractNumId w:val="8"/>
  </w:num>
  <w:num w:numId="9">
    <w:abstractNumId w:val="2"/>
  </w:num>
  <w:num w:numId="10">
    <w:abstractNumId w:val="13"/>
  </w:num>
  <w:num w:numId="11">
    <w:abstractNumId w:val="1"/>
  </w:num>
  <w:num w:numId="12">
    <w:abstractNumId w:val="4"/>
  </w:num>
  <w:num w:numId="13">
    <w:abstractNumId w:val="4"/>
    <w:lvlOverride w:ilvl="0">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Override>
    <w:lvlOverride w:ilvl="1">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Override>
    <w:lvlOverride w:ilvl="2">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Override>
    <w:lvlOverride w:ilvl="3">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Override>
    <w:lvlOverride w:ilvl="4">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Override>
    <w:lvlOverride w:ilvl="5">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Override>
    <w:lvlOverride w:ilvl="6">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Override>
    <w:lvlOverride w:ilvl="7">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Override>
    <w:lvlOverride w:ilvl="8">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lvlOverride>
  </w:num>
  <w:num w:numId="14">
    <w:abstractNumId w:val="9"/>
  </w:num>
  <w:num w:numId="15">
    <w:abstractNumId w:val="3"/>
  </w:num>
  <w:num w:numId="16">
    <w:abstractNumId w:val="13"/>
  </w:num>
  <w:num w:numId="17">
    <w:abstractNumId w:val="13"/>
  </w:num>
  <w:num w:numId="18">
    <w:abstractNumId w:val="7"/>
  </w:num>
  <w:num w:numId="19">
    <w:abstractNumId w:val="0"/>
  </w:num>
  <w:num w:numId="20">
    <w:abstractNumId w:val="16"/>
  </w:num>
  <w:num w:numId="21">
    <w:abstractNumId w:val="14"/>
  </w:num>
  <w:num w:numId="22">
    <w:abstractNumId w:val="13"/>
  </w:num>
  <w:num w:numId="23">
    <w:abstractNumId w:val="13"/>
  </w:num>
  <w:num w:numId="24">
    <w:abstractNumId w:val="13"/>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Full" w:cryptAlgorithmClass="hash" w:cryptAlgorithmType="typeAny" w:cryptAlgorithmSid="4" w:cryptSpinCount="100000" w:hash="pSnAq1ypsc9C5Km/DMTa+JjEZLE=" w:salt="jJKgxRyhMbPexKmbu3tvkA=="/>
  <w:defaultTabStop w:val="720"/>
  <w:doNotHyphenateCaps/>
  <w:drawingGridHorizontalSpacing w:val="59"/>
  <w:displayVerticalDrawingGridEvery w:val="2"/>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D7"/>
    <w:rsid w:val="00175023"/>
    <w:rsid w:val="00301268"/>
    <w:rsid w:val="003246D1"/>
    <w:rsid w:val="00332564"/>
    <w:rsid w:val="00456596"/>
    <w:rsid w:val="00472094"/>
    <w:rsid w:val="00613CDF"/>
    <w:rsid w:val="00646AAE"/>
    <w:rsid w:val="006908D7"/>
    <w:rsid w:val="007F7581"/>
    <w:rsid w:val="009109A1"/>
    <w:rsid w:val="009476A7"/>
    <w:rsid w:val="00A66835"/>
    <w:rsid w:val="00B1152A"/>
    <w:rsid w:val="00BC305D"/>
    <w:rsid w:val="00BD4CED"/>
    <w:rsid w:val="00D628C9"/>
    <w:rsid w:val="00E13108"/>
    <w:rsid w:val="00E7583D"/>
    <w:rsid w:val="00EE6DF3"/>
    <w:rsid w:val="00F123B8"/>
    <w:rsid w:val="00F9440D"/>
    <w:rsid w:val="00FF7EFD"/>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4C2A-F4A9-4CFC-901A-7EED1804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Alberta Electric System Operator</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Zedde</dc:creator>
  <cp:lastModifiedBy>Erin Powell</cp:lastModifiedBy>
  <cp:revision>3</cp:revision>
  <cp:lastPrinted>2019-03-11T17:46:00Z</cp:lastPrinted>
  <dcterms:created xsi:type="dcterms:W3CDTF">2019-03-19T21:50:00Z</dcterms:created>
  <dcterms:modified xsi:type="dcterms:W3CDTF">2019-03-19T21:50:00Z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\124011258\2</vt:lpwstr>
  </property>
</Properties>
</file>